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76F97" w14:textId="77777777" w:rsidR="00126EE7" w:rsidRDefault="00126EE7" w:rsidP="00126EE7">
      <w:pPr>
        <w:jc w:val="both"/>
        <w:rPr>
          <w:rFonts w:ascii="Arial" w:eastAsia="Arial Unicode MS" w:hAnsi="Arial" w:cs="Arial"/>
          <w:b/>
          <w:color w:val="333333"/>
          <w:sz w:val="22"/>
          <w:szCs w:val="22"/>
        </w:rPr>
      </w:pPr>
    </w:p>
    <w:p w14:paraId="007CA13E" w14:textId="77777777" w:rsidR="00126EE7" w:rsidRDefault="00126EE7" w:rsidP="00126EE7">
      <w:pPr>
        <w:jc w:val="both"/>
        <w:rPr>
          <w:rFonts w:ascii="Arial" w:eastAsia="Arial Unicode MS" w:hAnsi="Arial" w:cs="Arial"/>
          <w:b/>
          <w:color w:val="333333"/>
          <w:sz w:val="22"/>
          <w:szCs w:val="22"/>
        </w:rPr>
      </w:pPr>
    </w:p>
    <w:p w14:paraId="4842730E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  <w:r w:rsidRPr="00465BB5">
        <w:rPr>
          <w:rFonts w:ascii="Arial" w:eastAsia="Arial Unicode MS" w:hAnsi="Arial" w:cs="Arial"/>
          <w:b/>
          <w:color w:val="333333"/>
        </w:rPr>
        <w:t>REPÚBLICA DE PANAMÁ</w:t>
      </w:r>
    </w:p>
    <w:p w14:paraId="3844CE62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  <w:r w:rsidRPr="00465BB5">
        <w:rPr>
          <w:rFonts w:ascii="Arial" w:eastAsia="Arial Unicode MS" w:hAnsi="Arial" w:cs="Arial"/>
          <w:b/>
          <w:color w:val="333333"/>
        </w:rPr>
        <w:t>MINISTERIO DE RELACIONES EXTERIORES</w:t>
      </w:r>
    </w:p>
    <w:p w14:paraId="42AE52ED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  <w:r w:rsidRPr="00465BB5">
        <w:rPr>
          <w:rFonts w:ascii="Arial" w:eastAsia="Arial Unicode MS" w:hAnsi="Arial" w:cs="Arial"/>
          <w:b/>
          <w:color w:val="333333"/>
        </w:rPr>
        <w:t>DIRECCIÓN DE ADMINISTRACIÓN Y FINANZAS</w:t>
      </w:r>
    </w:p>
    <w:p w14:paraId="34B03952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6793D5DB" w14:textId="77777777" w:rsidR="00126EE7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2D800EF2" w14:textId="77777777" w:rsidR="00126EE7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7BF9A73D" w14:textId="77777777" w:rsidR="00126EE7" w:rsidRDefault="00126EE7" w:rsidP="00126EE7">
      <w:pPr>
        <w:rPr>
          <w:rFonts w:ascii="Arial" w:eastAsia="Arial Unicode MS" w:hAnsi="Arial" w:cs="Arial"/>
          <w:b/>
          <w:color w:val="333333"/>
        </w:rPr>
      </w:pPr>
    </w:p>
    <w:p w14:paraId="76F0F9FE" w14:textId="77777777" w:rsidR="00126EE7" w:rsidRPr="00465BB5" w:rsidRDefault="00126EE7" w:rsidP="00126EE7">
      <w:pPr>
        <w:rPr>
          <w:rFonts w:ascii="Arial" w:eastAsia="Arial Unicode MS" w:hAnsi="Arial" w:cs="Arial"/>
          <w:b/>
          <w:color w:val="333333"/>
        </w:rPr>
      </w:pPr>
    </w:p>
    <w:p w14:paraId="20F80362" w14:textId="3AE39902" w:rsidR="00126EE7" w:rsidRPr="00465BB5" w:rsidRDefault="00126EE7" w:rsidP="00126EE7">
      <w:pPr>
        <w:tabs>
          <w:tab w:val="left" w:pos="3855"/>
        </w:tabs>
        <w:rPr>
          <w:rFonts w:ascii="Arial" w:eastAsia="Arial Unicode MS" w:hAnsi="Arial" w:cs="Arial"/>
          <w:b/>
          <w:color w:val="333333"/>
        </w:rPr>
      </w:pPr>
    </w:p>
    <w:p w14:paraId="65A68816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40BFAAC1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  <w:r w:rsidRPr="00465BB5">
        <w:rPr>
          <w:rFonts w:ascii="Arial" w:eastAsia="Arial Unicode MS" w:hAnsi="Arial" w:cs="Arial"/>
          <w:b/>
          <w:color w:val="333333"/>
        </w:rPr>
        <w:t>INFORME EJECUTIVO</w:t>
      </w:r>
    </w:p>
    <w:p w14:paraId="14068422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  <w:r>
        <w:rPr>
          <w:rFonts w:ascii="Arial" w:eastAsia="Arial Unicode MS" w:hAnsi="Arial" w:cs="Arial"/>
          <w:b/>
          <w:color w:val="333333"/>
        </w:rPr>
        <w:t xml:space="preserve">EJECUCIÓN PRESUPUESTARIA DEL </w:t>
      </w:r>
      <w:r w:rsidRPr="00465BB5">
        <w:rPr>
          <w:rFonts w:ascii="Arial" w:eastAsia="Arial Unicode MS" w:hAnsi="Arial" w:cs="Arial"/>
          <w:b/>
          <w:color w:val="333333"/>
        </w:rPr>
        <w:t>MINISTERIO DE RELACIONES</w:t>
      </w:r>
    </w:p>
    <w:p w14:paraId="5907D3E8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  <w:r w:rsidRPr="00465BB5">
        <w:rPr>
          <w:rFonts w:ascii="Arial" w:eastAsia="Arial Unicode MS" w:hAnsi="Arial" w:cs="Arial"/>
          <w:b/>
          <w:color w:val="333333"/>
        </w:rPr>
        <w:t>EXTERIORES</w:t>
      </w:r>
    </w:p>
    <w:p w14:paraId="1C4E2D58" w14:textId="761621D1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  <w:r w:rsidRPr="00465BB5">
        <w:rPr>
          <w:rFonts w:ascii="Arial" w:eastAsia="Arial Unicode MS" w:hAnsi="Arial" w:cs="Arial"/>
          <w:b/>
          <w:color w:val="333333"/>
        </w:rPr>
        <w:t xml:space="preserve">AL </w:t>
      </w:r>
      <w:r>
        <w:rPr>
          <w:rFonts w:ascii="Arial" w:hAnsi="Arial" w:cs="Arial"/>
          <w:b/>
          <w:color w:val="404040" w:themeColor="text1" w:themeTint="BF"/>
        </w:rPr>
        <w:t>30</w:t>
      </w:r>
      <w:r w:rsidRPr="007351CA">
        <w:rPr>
          <w:rFonts w:ascii="Arial" w:hAnsi="Arial" w:cs="Arial"/>
          <w:b/>
          <w:color w:val="404040" w:themeColor="text1" w:themeTint="BF"/>
        </w:rPr>
        <w:t xml:space="preserve"> DE </w:t>
      </w:r>
      <w:r>
        <w:rPr>
          <w:rFonts w:ascii="Arial" w:hAnsi="Arial" w:cs="Arial"/>
          <w:b/>
          <w:color w:val="404040" w:themeColor="text1" w:themeTint="BF"/>
        </w:rPr>
        <w:t>ABRIL</w:t>
      </w:r>
      <w:r w:rsidRPr="007351CA">
        <w:rPr>
          <w:rFonts w:ascii="Arial" w:eastAsia="Arial Unicode MS" w:hAnsi="Arial" w:cs="Arial"/>
          <w:b/>
          <w:color w:val="404040" w:themeColor="text1" w:themeTint="BF"/>
        </w:rPr>
        <w:t xml:space="preserve"> </w:t>
      </w:r>
      <w:r w:rsidRPr="007351CA">
        <w:rPr>
          <w:rFonts w:ascii="Arial" w:eastAsia="Arial Unicode MS" w:hAnsi="Arial" w:cs="Arial"/>
          <w:b/>
          <w:color w:val="333333"/>
        </w:rPr>
        <w:t>DE 201</w:t>
      </w:r>
      <w:r>
        <w:rPr>
          <w:rFonts w:ascii="Arial" w:eastAsia="Arial Unicode MS" w:hAnsi="Arial" w:cs="Arial"/>
          <w:b/>
          <w:color w:val="333333"/>
        </w:rPr>
        <w:t>9</w:t>
      </w:r>
    </w:p>
    <w:p w14:paraId="7E2E5D42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60342D13" w14:textId="77777777" w:rsidR="00126EE7" w:rsidRDefault="00126EE7" w:rsidP="00126EE7">
      <w:pPr>
        <w:rPr>
          <w:rFonts w:ascii="Arial" w:eastAsia="Arial Unicode MS" w:hAnsi="Arial" w:cs="Arial"/>
          <w:b/>
          <w:color w:val="333333"/>
        </w:rPr>
      </w:pPr>
    </w:p>
    <w:p w14:paraId="4871C262" w14:textId="77777777" w:rsidR="00126EE7" w:rsidRDefault="00126EE7" w:rsidP="00126EE7">
      <w:pPr>
        <w:rPr>
          <w:rFonts w:ascii="Arial" w:eastAsia="Arial Unicode MS" w:hAnsi="Arial" w:cs="Arial"/>
          <w:b/>
          <w:color w:val="333333"/>
        </w:rPr>
      </w:pPr>
    </w:p>
    <w:p w14:paraId="4CB22391" w14:textId="77777777" w:rsidR="00126EE7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690B6091" w14:textId="77777777" w:rsidR="00126EE7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74849448" w14:textId="77777777" w:rsidR="00126EE7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1D3986CB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42F4DE4E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14CA12B4" w14:textId="116F432E" w:rsidR="00126EE7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  <w:r>
        <w:rPr>
          <w:rFonts w:ascii="Arial" w:hAnsi="Arial" w:cs="Arial"/>
          <w:b/>
          <w:color w:val="404040" w:themeColor="text1" w:themeTint="BF"/>
        </w:rPr>
        <w:t xml:space="preserve">ABRIL </w:t>
      </w:r>
      <w:r>
        <w:rPr>
          <w:rFonts w:ascii="Arial" w:eastAsia="Arial Unicode MS" w:hAnsi="Arial" w:cs="Arial"/>
          <w:b/>
          <w:color w:val="333333"/>
        </w:rPr>
        <w:t>DE</w:t>
      </w:r>
      <w:r w:rsidRPr="00465BB5">
        <w:rPr>
          <w:rFonts w:ascii="Arial" w:eastAsia="Arial Unicode MS" w:hAnsi="Arial" w:cs="Arial"/>
          <w:b/>
          <w:color w:val="333333"/>
        </w:rPr>
        <w:t xml:space="preserve"> 201</w:t>
      </w:r>
      <w:r>
        <w:rPr>
          <w:rFonts w:ascii="Arial" w:eastAsia="Arial Unicode MS" w:hAnsi="Arial" w:cs="Arial"/>
          <w:b/>
          <w:color w:val="333333"/>
        </w:rPr>
        <w:t>9</w:t>
      </w:r>
      <w:r w:rsidRPr="00465BB5">
        <w:rPr>
          <w:rFonts w:ascii="Arial" w:eastAsia="Arial Unicode MS" w:hAnsi="Arial" w:cs="Arial"/>
          <w:b/>
          <w:color w:val="333333"/>
        </w:rPr>
        <w:br w:type="page"/>
      </w:r>
    </w:p>
    <w:p w14:paraId="273C33F2" w14:textId="77777777" w:rsidR="00126EE7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4BA1995D" w14:textId="77777777" w:rsidR="00126EE7" w:rsidRDefault="00126EE7" w:rsidP="00126EE7">
      <w:pPr>
        <w:jc w:val="center"/>
        <w:rPr>
          <w:rFonts w:ascii="Arial" w:eastAsia="Arial Unicode MS" w:hAnsi="Arial" w:cs="Arial"/>
          <w:b/>
          <w:color w:val="333333"/>
        </w:rPr>
      </w:pPr>
    </w:p>
    <w:p w14:paraId="11856572" w14:textId="77777777" w:rsidR="00126EE7" w:rsidRDefault="00126EE7" w:rsidP="00126EE7">
      <w:pPr>
        <w:jc w:val="center"/>
        <w:rPr>
          <w:rFonts w:ascii="Arial" w:eastAsia="Arial Unicode MS" w:hAnsi="Arial" w:cs="Arial"/>
          <w:b/>
          <w:color w:val="404040" w:themeColor="text1" w:themeTint="BF"/>
        </w:rPr>
      </w:pPr>
      <w:r w:rsidRPr="00385E72">
        <w:rPr>
          <w:rFonts w:ascii="Arial" w:eastAsia="Arial Unicode MS" w:hAnsi="Arial" w:cs="Arial"/>
          <w:b/>
          <w:color w:val="404040" w:themeColor="text1" w:themeTint="BF"/>
        </w:rPr>
        <w:t>Í</w:t>
      </w:r>
      <w:r>
        <w:rPr>
          <w:rFonts w:ascii="Arial" w:eastAsia="Arial Unicode MS" w:hAnsi="Arial" w:cs="Arial"/>
          <w:b/>
          <w:color w:val="404040" w:themeColor="text1" w:themeTint="BF"/>
        </w:rPr>
        <w:t xml:space="preserve"> </w:t>
      </w:r>
      <w:r w:rsidRPr="00385E72">
        <w:rPr>
          <w:rFonts w:ascii="Arial" w:eastAsia="Arial Unicode MS" w:hAnsi="Arial" w:cs="Arial"/>
          <w:b/>
          <w:color w:val="404040" w:themeColor="text1" w:themeTint="BF"/>
        </w:rPr>
        <w:t>N</w:t>
      </w:r>
      <w:r>
        <w:rPr>
          <w:rFonts w:ascii="Arial" w:eastAsia="Arial Unicode MS" w:hAnsi="Arial" w:cs="Arial"/>
          <w:b/>
          <w:color w:val="404040" w:themeColor="text1" w:themeTint="BF"/>
        </w:rPr>
        <w:t xml:space="preserve"> </w:t>
      </w:r>
      <w:r w:rsidRPr="00385E72">
        <w:rPr>
          <w:rFonts w:ascii="Arial" w:eastAsia="Arial Unicode MS" w:hAnsi="Arial" w:cs="Arial"/>
          <w:b/>
          <w:color w:val="404040" w:themeColor="text1" w:themeTint="BF"/>
        </w:rPr>
        <w:t>D</w:t>
      </w:r>
      <w:r>
        <w:rPr>
          <w:rFonts w:ascii="Arial" w:eastAsia="Arial Unicode MS" w:hAnsi="Arial" w:cs="Arial"/>
          <w:b/>
          <w:color w:val="404040" w:themeColor="text1" w:themeTint="BF"/>
        </w:rPr>
        <w:t xml:space="preserve"> </w:t>
      </w:r>
      <w:r w:rsidRPr="00385E72">
        <w:rPr>
          <w:rFonts w:ascii="Arial" w:eastAsia="Arial Unicode MS" w:hAnsi="Arial" w:cs="Arial"/>
          <w:b/>
          <w:color w:val="404040" w:themeColor="text1" w:themeTint="BF"/>
        </w:rPr>
        <w:t>I</w:t>
      </w:r>
      <w:r>
        <w:rPr>
          <w:rFonts w:ascii="Arial" w:eastAsia="Arial Unicode MS" w:hAnsi="Arial" w:cs="Arial"/>
          <w:b/>
          <w:color w:val="404040" w:themeColor="text1" w:themeTint="BF"/>
        </w:rPr>
        <w:t xml:space="preserve"> </w:t>
      </w:r>
      <w:r w:rsidRPr="00385E72">
        <w:rPr>
          <w:rFonts w:ascii="Arial" w:eastAsia="Arial Unicode MS" w:hAnsi="Arial" w:cs="Arial"/>
          <w:b/>
          <w:color w:val="404040" w:themeColor="text1" w:themeTint="BF"/>
        </w:rPr>
        <w:t>C</w:t>
      </w:r>
      <w:r>
        <w:rPr>
          <w:rFonts w:ascii="Arial" w:eastAsia="Arial Unicode MS" w:hAnsi="Arial" w:cs="Arial"/>
          <w:b/>
          <w:color w:val="404040" w:themeColor="text1" w:themeTint="BF"/>
        </w:rPr>
        <w:t xml:space="preserve"> </w:t>
      </w:r>
      <w:r w:rsidRPr="00385E72">
        <w:rPr>
          <w:rFonts w:ascii="Arial" w:eastAsia="Arial Unicode MS" w:hAnsi="Arial" w:cs="Arial"/>
          <w:b/>
          <w:color w:val="404040" w:themeColor="text1" w:themeTint="BF"/>
        </w:rPr>
        <w:t>E</w:t>
      </w:r>
    </w:p>
    <w:p w14:paraId="45918607" w14:textId="77777777" w:rsidR="00126EE7" w:rsidRPr="00465BB5" w:rsidRDefault="00126EE7" w:rsidP="00126EE7">
      <w:pPr>
        <w:rPr>
          <w:rFonts w:ascii="Arial" w:eastAsia="Arial Unicode MS" w:hAnsi="Arial" w:cs="Arial"/>
          <w:b/>
          <w:color w:val="404040" w:themeColor="text1" w:themeTint="BF"/>
        </w:rPr>
      </w:pPr>
    </w:p>
    <w:p w14:paraId="7ACF9C8C" w14:textId="77777777" w:rsidR="00126EE7" w:rsidRPr="00465BB5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</w:p>
    <w:p w14:paraId="09B5972E" w14:textId="77777777" w:rsidR="00126EE7" w:rsidRPr="00465BB5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</w:p>
    <w:p w14:paraId="16757DFB" w14:textId="77777777" w:rsidR="00126EE7" w:rsidRPr="00465BB5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  <w:r w:rsidRPr="00465BB5">
        <w:rPr>
          <w:rFonts w:ascii="Arial" w:eastAsia="Arial Unicode MS" w:hAnsi="Arial" w:cs="Arial"/>
          <w:color w:val="404040" w:themeColor="text1" w:themeTint="BF"/>
        </w:rPr>
        <w:t xml:space="preserve">INFORME DE EJECUCIÓN PRESUPUESTARIA AL </w:t>
      </w:r>
      <w:r>
        <w:rPr>
          <w:rFonts w:ascii="Arial" w:hAnsi="Arial" w:cs="Arial"/>
          <w:color w:val="404040" w:themeColor="text1" w:themeTint="BF"/>
        </w:rPr>
        <w:t>30 DE ABRIL</w:t>
      </w:r>
      <w:r>
        <w:rPr>
          <w:rFonts w:ascii="Arial" w:eastAsia="Arial Unicode MS" w:hAnsi="Arial" w:cs="Arial"/>
          <w:color w:val="404040" w:themeColor="text1" w:themeTint="BF"/>
        </w:rPr>
        <w:t xml:space="preserve"> DE 2019</w:t>
      </w:r>
    </w:p>
    <w:p w14:paraId="346EB77D" w14:textId="77777777" w:rsidR="00126EE7" w:rsidRPr="00465BB5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</w:p>
    <w:p w14:paraId="1681FDD2" w14:textId="77777777" w:rsidR="00126EE7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  <w:r w:rsidRPr="00465BB5">
        <w:rPr>
          <w:rFonts w:ascii="Arial" w:eastAsia="Arial Unicode MS" w:hAnsi="Arial" w:cs="Arial"/>
          <w:color w:val="404040" w:themeColor="text1" w:themeTint="BF"/>
        </w:rPr>
        <w:t>FUNCIONAMIENTO E INVERSIÓN</w:t>
      </w:r>
      <w:r>
        <w:rPr>
          <w:rFonts w:ascii="Arial" w:eastAsia="Arial Unicode MS" w:hAnsi="Arial" w:cs="Arial"/>
          <w:color w:val="404040" w:themeColor="text1" w:themeTint="BF"/>
        </w:rPr>
        <w:t>.</w:t>
      </w:r>
    </w:p>
    <w:p w14:paraId="13F318BD" w14:textId="77777777" w:rsidR="00126EE7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</w:p>
    <w:p w14:paraId="7008CE05" w14:textId="77777777" w:rsidR="00126EE7" w:rsidRPr="00465BB5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</w:p>
    <w:p w14:paraId="1CD47AF9" w14:textId="77777777" w:rsidR="00126EE7" w:rsidRPr="00465BB5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</w:p>
    <w:p w14:paraId="1E7E5E54" w14:textId="77777777" w:rsidR="00126EE7" w:rsidRPr="00465BB5" w:rsidRDefault="00126EE7" w:rsidP="00126EE7">
      <w:pPr>
        <w:pStyle w:val="Prrafodelista"/>
        <w:numPr>
          <w:ilvl w:val="0"/>
          <w:numId w:val="19"/>
        </w:numPr>
        <w:rPr>
          <w:rFonts w:ascii="Arial" w:eastAsia="Arial Unicode MS" w:hAnsi="Arial" w:cs="Arial"/>
          <w:color w:val="404040" w:themeColor="text1" w:themeTint="BF"/>
        </w:rPr>
      </w:pPr>
      <w:r w:rsidRPr="00465BB5">
        <w:rPr>
          <w:rFonts w:ascii="Arial" w:eastAsia="Arial Unicode MS" w:hAnsi="Arial" w:cs="Arial"/>
          <w:color w:val="404040" w:themeColor="text1" w:themeTint="BF"/>
        </w:rPr>
        <w:t>MARCO GENERAL</w:t>
      </w:r>
      <w:r>
        <w:rPr>
          <w:rFonts w:ascii="Arial" w:eastAsia="Arial Unicode MS" w:hAnsi="Arial" w:cs="Arial"/>
          <w:color w:val="404040" w:themeColor="text1" w:themeTint="BF"/>
        </w:rPr>
        <w:tab/>
        <w:t>……………………………………………………………..4</w:t>
      </w:r>
    </w:p>
    <w:p w14:paraId="70F57502" w14:textId="77777777" w:rsidR="00126EE7" w:rsidRPr="00465BB5" w:rsidRDefault="00126EE7" w:rsidP="00126EE7">
      <w:pPr>
        <w:ind w:left="360"/>
        <w:rPr>
          <w:rFonts w:ascii="Arial" w:eastAsia="Arial Unicode MS" w:hAnsi="Arial" w:cs="Arial"/>
          <w:color w:val="404040" w:themeColor="text1" w:themeTint="BF"/>
        </w:rPr>
      </w:pPr>
    </w:p>
    <w:p w14:paraId="1396CC49" w14:textId="77777777" w:rsidR="00126EE7" w:rsidRPr="00465BB5" w:rsidRDefault="00126EE7" w:rsidP="00126EE7">
      <w:pPr>
        <w:pStyle w:val="Prrafodelista"/>
        <w:numPr>
          <w:ilvl w:val="0"/>
          <w:numId w:val="19"/>
        </w:numPr>
        <w:rPr>
          <w:rFonts w:ascii="Arial" w:eastAsia="Arial Unicode MS" w:hAnsi="Arial" w:cs="Arial"/>
          <w:color w:val="404040" w:themeColor="text1" w:themeTint="BF"/>
        </w:rPr>
      </w:pPr>
      <w:r>
        <w:rPr>
          <w:rFonts w:ascii="Arial" w:eastAsia="Arial Unicode MS" w:hAnsi="Arial" w:cs="Arial"/>
          <w:color w:val="404040" w:themeColor="text1" w:themeTint="BF"/>
        </w:rPr>
        <w:t>BALANCE PRESUPUESTARIO……………………………………………….5</w:t>
      </w:r>
    </w:p>
    <w:p w14:paraId="1B27B80E" w14:textId="77777777" w:rsidR="00126EE7" w:rsidRPr="00465BB5" w:rsidRDefault="00126EE7" w:rsidP="00126EE7">
      <w:pPr>
        <w:ind w:left="360"/>
        <w:rPr>
          <w:rFonts w:ascii="Arial" w:eastAsia="Arial Unicode MS" w:hAnsi="Arial" w:cs="Arial"/>
          <w:color w:val="404040" w:themeColor="text1" w:themeTint="BF"/>
        </w:rPr>
      </w:pPr>
    </w:p>
    <w:p w14:paraId="5DCCB904" w14:textId="77777777" w:rsidR="00126EE7" w:rsidRPr="00465BB5" w:rsidRDefault="00126EE7" w:rsidP="00126EE7">
      <w:pPr>
        <w:pStyle w:val="Prrafodelista"/>
        <w:numPr>
          <w:ilvl w:val="0"/>
          <w:numId w:val="19"/>
        </w:numPr>
        <w:rPr>
          <w:rFonts w:ascii="Arial" w:eastAsia="Arial Unicode MS" w:hAnsi="Arial" w:cs="Arial"/>
          <w:color w:val="404040" w:themeColor="text1" w:themeTint="BF"/>
        </w:rPr>
      </w:pPr>
      <w:r w:rsidRPr="00465BB5">
        <w:rPr>
          <w:rFonts w:ascii="Arial" w:eastAsia="Arial Unicode MS" w:hAnsi="Arial" w:cs="Arial"/>
          <w:color w:val="404040" w:themeColor="text1" w:themeTint="BF"/>
        </w:rPr>
        <w:t>PRESUPUESTO DE FUNCIONAMIENTO</w:t>
      </w:r>
      <w:r>
        <w:rPr>
          <w:rFonts w:ascii="Arial" w:eastAsia="Arial Unicode MS" w:hAnsi="Arial" w:cs="Arial"/>
          <w:color w:val="404040" w:themeColor="text1" w:themeTint="BF"/>
        </w:rPr>
        <w:t>……………………………………6</w:t>
      </w:r>
    </w:p>
    <w:p w14:paraId="11E2B6AE" w14:textId="77777777" w:rsidR="00126EE7" w:rsidRPr="00465BB5" w:rsidRDefault="00126EE7" w:rsidP="00126EE7">
      <w:pPr>
        <w:ind w:left="360"/>
        <w:rPr>
          <w:rFonts w:ascii="Arial" w:eastAsia="Arial Unicode MS" w:hAnsi="Arial" w:cs="Arial"/>
          <w:color w:val="404040" w:themeColor="text1" w:themeTint="BF"/>
        </w:rPr>
      </w:pPr>
    </w:p>
    <w:p w14:paraId="4186FE16" w14:textId="77777777" w:rsidR="00126EE7" w:rsidRPr="00465BB5" w:rsidRDefault="00126EE7" w:rsidP="00126EE7">
      <w:pPr>
        <w:pStyle w:val="Prrafodelista"/>
        <w:numPr>
          <w:ilvl w:val="0"/>
          <w:numId w:val="19"/>
        </w:numPr>
        <w:rPr>
          <w:rFonts w:ascii="Arial" w:eastAsia="Arial Unicode MS" w:hAnsi="Arial" w:cs="Arial"/>
          <w:color w:val="404040" w:themeColor="text1" w:themeTint="BF"/>
        </w:rPr>
      </w:pPr>
      <w:r w:rsidRPr="00465BB5">
        <w:rPr>
          <w:rFonts w:ascii="Arial" w:eastAsia="Arial Unicode MS" w:hAnsi="Arial" w:cs="Arial"/>
          <w:color w:val="404040" w:themeColor="text1" w:themeTint="BF"/>
        </w:rPr>
        <w:t>PRESUPUESTO DE INVERSIÓN</w:t>
      </w:r>
      <w:r>
        <w:rPr>
          <w:rFonts w:ascii="Arial" w:eastAsia="Arial Unicode MS" w:hAnsi="Arial" w:cs="Arial"/>
          <w:color w:val="404040" w:themeColor="text1" w:themeTint="BF"/>
        </w:rPr>
        <w:t>……………………………………………..8</w:t>
      </w:r>
    </w:p>
    <w:p w14:paraId="72CE79C4" w14:textId="77777777" w:rsidR="00126EE7" w:rsidRPr="00465BB5" w:rsidRDefault="00126EE7" w:rsidP="00126EE7">
      <w:pPr>
        <w:pStyle w:val="Prrafodelista"/>
        <w:rPr>
          <w:rFonts w:ascii="Arial" w:eastAsia="Arial Unicode MS" w:hAnsi="Arial" w:cs="Arial"/>
          <w:color w:val="404040" w:themeColor="text1" w:themeTint="BF"/>
        </w:rPr>
      </w:pPr>
    </w:p>
    <w:p w14:paraId="762243FE" w14:textId="77777777" w:rsidR="00126EE7" w:rsidRPr="00465BB5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</w:p>
    <w:p w14:paraId="1B9767C7" w14:textId="77777777" w:rsidR="00126EE7" w:rsidRPr="00465BB5" w:rsidRDefault="00126EE7" w:rsidP="00126EE7">
      <w:pPr>
        <w:rPr>
          <w:rFonts w:ascii="Arial" w:eastAsia="Arial Unicode MS" w:hAnsi="Arial" w:cs="Arial"/>
          <w:color w:val="404040" w:themeColor="text1" w:themeTint="BF"/>
        </w:rPr>
      </w:pPr>
      <w:r w:rsidRPr="00465BB5">
        <w:rPr>
          <w:rFonts w:ascii="Arial" w:eastAsia="Arial Unicode MS" w:hAnsi="Arial" w:cs="Arial"/>
          <w:color w:val="404040" w:themeColor="text1" w:themeTint="BF"/>
        </w:rPr>
        <w:tab/>
      </w:r>
    </w:p>
    <w:p w14:paraId="1A75048D" w14:textId="77777777" w:rsidR="00126EE7" w:rsidRPr="00465BB5" w:rsidRDefault="00126EE7" w:rsidP="00126EE7">
      <w:pPr>
        <w:rPr>
          <w:rFonts w:ascii="Arial" w:eastAsia="Arial Unicode MS" w:hAnsi="Arial" w:cs="Arial"/>
        </w:rPr>
      </w:pPr>
    </w:p>
    <w:p w14:paraId="163C6519" w14:textId="77777777" w:rsidR="00126EE7" w:rsidRDefault="00126EE7" w:rsidP="00126EE7">
      <w:pPr>
        <w:jc w:val="center"/>
        <w:rPr>
          <w:rFonts w:ascii="Arial" w:eastAsia="Arial Unicode MS" w:hAnsi="Arial" w:cs="Arial"/>
          <w:sz w:val="22"/>
          <w:szCs w:val="22"/>
        </w:rPr>
      </w:pPr>
      <w:r w:rsidRPr="00473378">
        <w:rPr>
          <w:rFonts w:ascii="Arial" w:eastAsia="Arial Unicode MS" w:hAnsi="Arial" w:cs="Arial"/>
          <w:sz w:val="22"/>
          <w:szCs w:val="22"/>
        </w:rPr>
        <w:br w:type="page"/>
      </w:r>
    </w:p>
    <w:p w14:paraId="25FF3BB0" w14:textId="77777777" w:rsidR="00126EE7" w:rsidRDefault="00126EE7" w:rsidP="00126EE7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4BA18CFA" w14:textId="77777777" w:rsidR="00126EE7" w:rsidRDefault="00126EE7" w:rsidP="00126EE7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0FAA3BF3" w14:textId="77777777" w:rsidR="00126EE7" w:rsidRDefault="00126EE7" w:rsidP="00126EE7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10CA86B0" w14:textId="77777777" w:rsidR="00126EE7" w:rsidRPr="00AB4403" w:rsidRDefault="00126EE7" w:rsidP="00126EE7">
      <w:pPr>
        <w:jc w:val="center"/>
        <w:rPr>
          <w:rFonts w:ascii="Arial" w:eastAsia="Arial Unicode MS" w:hAnsi="Arial" w:cs="Arial"/>
          <w:b/>
          <w:color w:val="404040" w:themeColor="text1" w:themeTint="BF"/>
        </w:rPr>
      </w:pPr>
      <w:r w:rsidRPr="00AB4403">
        <w:rPr>
          <w:rFonts w:ascii="Arial" w:eastAsia="Arial Unicode MS" w:hAnsi="Arial" w:cs="Arial"/>
          <w:b/>
        </w:rPr>
        <w:t>ÍN</w:t>
      </w:r>
      <w:r w:rsidRPr="00AB4403">
        <w:rPr>
          <w:rFonts w:ascii="Arial" w:eastAsia="Arial Unicode MS" w:hAnsi="Arial" w:cs="Arial"/>
          <w:b/>
          <w:color w:val="404040" w:themeColor="text1" w:themeTint="BF"/>
        </w:rPr>
        <w:t>DICE DE CUADROS</w:t>
      </w:r>
    </w:p>
    <w:p w14:paraId="449DC443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404040" w:themeColor="text1" w:themeTint="BF"/>
        </w:rPr>
      </w:pPr>
    </w:p>
    <w:p w14:paraId="737F0C43" w14:textId="77777777" w:rsidR="00126EE7" w:rsidRPr="00465BB5" w:rsidRDefault="00126EE7" w:rsidP="00126EE7">
      <w:pPr>
        <w:jc w:val="both"/>
        <w:rPr>
          <w:rFonts w:ascii="Arial" w:eastAsia="Arial Unicode MS" w:hAnsi="Arial" w:cs="Arial"/>
          <w:b/>
          <w:color w:val="404040" w:themeColor="text1" w:themeTint="BF"/>
        </w:rPr>
      </w:pPr>
      <w:r w:rsidRPr="00465BB5">
        <w:rPr>
          <w:rFonts w:ascii="Arial" w:eastAsia="Arial Unicode MS" w:hAnsi="Arial" w:cs="Arial"/>
          <w:b/>
          <w:color w:val="404040" w:themeColor="text1" w:themeTint="BF"/>
        </w:rPr>
        <w:tab/>
      </w:r>
      <w:r w:rsidRPr="00465BB5">
        <w:rPr>
          <w:rFonts w:ascii="Arial" w:eastAsia="Arial Unicode MS" w:hAnsi="Arial" w:cs="Arial"/>
          <w:b/>
          <w:color w:val="404040" w:themeColor="text1" w:themeTint="BF"/>
        </w:rPr>
        <w:tab/>
      </w:r>
      <w:r w:rsidRPr="00465BB5">
        <w:rPr>
          <w:rFonts w:ascii="Arial" w:eastAsia="Arial Unicode MS" w:hAnsi="Arial" w:cs="Arial"/>
          <w:b/>
          <w:color w:val="404040" w:themeColor="text1" w:themeTint="BF"/>
        </w:rPr>
        <w:tab/>
      </w:r>
      <w:r w:rsidRPr="00465BB5">
        <w:rPr>
          <w:rFonts w:ascii="Arial" w:eastAsia="Arial Unicode MS" w:hAnsi="Arial" w:cs="Arial"/>
          <w:b/>
          <w:color w:val="404040" w:themeColor="text1" w:themeTint="BF"/>
        </w:rPr>
        <w:tab/>
      </w:r>
      <w:r w:rsidRPr="00465BB5">
        <w:rPr>
          <w:rFonts w:ascii="Arial" w:eastAsia="Arial Unicode MS" w:hAnsi="Arial" w:cs="Arial"/>
          <w:b/>
          <w:color w:val="404040" w:themeColor="text1" w:themeTint="BF"/>
        </w:rPr>
        <w:tab/>
      </w:r>
    </w:p>
    <w:p w14:paraId="6C0662F1" w14:textId="77777777" w:rsidR="00126EE7" w:rsidRPr="00465BB5" w:rsidRDefault="00126EE7" w:rsidP="00126EE7">
      <w:pPr>
        <w:jc w:val="center"/>
        <w:rPr>
          <w:rFonts w:ascii="Arial" w:eastAsia="Arial Unicode MS" w:hAnsi="Arial" w:cs="Arial"/>
          <w:b/>
          <w:color w:val="404040" w:themeColor="text1" w:themeTint="BF"/>
        </w:rPr>
      </w:pPr>
    </w:p>
    <w:p w14:paraId="4C0EBA73" w14:textId="77777777" w:rsidR="00126EE7" w:rsidRPr="00465BB5" w:rsidRDefault="00126EE7" w:rsidP="00126EE7">
      <w:pPr>
        <w:jc w:val="both"/>
        <w:rPr>
          <w:rFonts w:ascii="Arial" w:hAnsi="Arial" w:cs="Arial"/>
          <w:color w:val="404040" w:themeColor="text1" w:themeTint="BF"/>
        </w:rPr>
      </w:pPr>
      <w:r w:rsidRPr="00465BB5">
        <w:rPr>
          <w:rFonts w:ascii="Arial" w:eastAsia="Arial Unicode MS" w:hAnsi="Arial" w:cs="Arial"/>
          <w:color w:val="404040" w:themeColor="text1" w:themeTint="BF"/>
        </w:rPr>
        <w:t xml:space="preserve">Cuadro Núm. </w:t>
      </w:r>
      <w:r>
        <w:rPr>
          <w:rFonts w:ascii="Arial" w:eastAsia="Arial Unicode MS" w:hAnsi="Arial" w:cs="Arial"/>
          <w:color w:val="404040" w:themeColor="text1" w:themeTint="BF"/>
        </w:rPr>
        <w:t>1</w:t>
      </w:r>
      <w:r w:rsidRPr="00465BB5">
        <w:rPr>
          <w:rFonts w:ascii="Arial" w:eastAsia="Arial Unicode MS" w:hAnsi="Arial" w:cs="Arial"/>
          <w:color w:val="404040" w:themeColor="text1" w:themeTint="BF"/>
        </w:rPr>
        <w:tab/>
      </w:r>
      <w:r w:rsidRPr="00465BB5">
        <w:rPr>
          <w:rFonts w:ascii="Arial" w:hAnsi="Arial" w:cs="Arial"/>
          <w:color w:val="404040" w:themeColor="text1" w:themeTint="BF"/>
        </w:rPr>
        <w:t xml:space="preserve">EJECUCIÓN PRESUPUESTARIA POR </w:t>
      </w:r>
      <w:r>
        <w:rPr>
          <w:rFonts w:ascii="Arial" w:hAnsi="Arial" w:cs="Arial"/>
          <w:color w:val="404040" w:themeColor="text1" w:themeTint="BF"/>
        </w:rPr>
        <w:t>OBJETO DEL</w:t>
      </w:r>
      <w:r w:rsidRPr="00465BB5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              5           </w:t>
      </w:r>
    </w:p>
    <w:p w14:paraId="6C13B434" w14:textId="77777777" w:rsidR="00126EE7" w:rsidRPr="00465BB5" w:rsidRDefault="00126EE7" w:rsidP="00126EE7">
      <w:pPr>
        <w:jc w:val="both"/>
        <w:rPr>
          <w:rFonts w:ascii="Arial" w:eastAsia="Arial Unicode MS" w:hAnsi="Arial" w:cs="Arial"/>
          <w:color w:val="404040" w:themeColor="text1" w:themeTint="BF"/>
        </w:rPr>
      </w:pPr>
      <w:r w:rsidRPr="00465BB5">
        <w:rPr>
          <w:rFonts w:ascii="Arial" w:hAnsi="Arial" w:cs="Arial"/>
          <w:color w:val="404040" w:themeColor="text1" w:themeTint="BF"/>
        </w:rPr>
        <w:tab/>
      </w:r>
      <w:r w:rsidRPr="00465BB5">
        <w:rPr>
          <w:rFonts w:ascii="Arial" w:hAnsi="Arial" w:cs="Arial"/>
          <w:color w:val="404040" w:themeColor="text1" w:themeTint="BF"/>
        </w:rPr>
        <w:tab/>
      </w:r>
      <w:r w:rsidRPr="00465BB5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>GASTO</w:t>
      </w:r>
      <w:r w:rsidRPr="00465BB5">
        <w:rPr>
          <w:rFonts w:ascii="Arial" w:hAnsi="Arial" w:cs="Arial"/>
          <w:color w:val="404040" w:themeColor="text1" w:themeTint="BF"/>
        </w:rPr>
        <w:t xml:space="preserve">, </w:t>
      </w:r>
      <w:r>
        <w:rPr>
          <w:rFonts w:ascii="Arial" w:hAnsi="Arial" w:cs="Arial"/>
          <w:color w:val="404040" w:themeColor="text1" w:themeTint="BF"/>
        </w:rPr>
        <w:t>AL</w:t>
      </w:r>
      <w:r w:rsidRPr="00465BB5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30 DE ABRIL</w:t>
      </w:r>
      <w:r>
        <w:rPr>
          <w:rFonts w:ascii="Arial" w:eastAsia="Arial Unicode MS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DE 2019</w:t>
      </w:r>
      <w:r>
        <w:rPr>
          <w:rFonts w:ascii="Arial" w:hAnsi="Arial" w:cs="Arial"/>
          <w:color w:val="404040" w:themeColor="text1" w:themeTint="BF"/>
        </w:rPr>
        <w:tab/>
        <w:t xml:space="preserve">                 </w:t>
      </w:r>
    </w:p>
    <w:p w14:paraId="4AF51458" w14:textId="77777777" w:rsidR="00126EE7" w:rsidRPr="00465BB5" w:rsidRDefault="00126EE7" w:rsidP="00126EE7">
      <w:pPr>
        <w:jc w:val="both"/>
        <w:rPr>
          <w:rFonts w:ascii="Arial" w:eastAsia="Arial Unicode MS" w:hAnsi="Arial" w:cs="Arial"/>
          <w:color w:val="404040" w:themeColor="text1" w:themeTint="BF"/>
        </w:rPr>
      </w:pPr>
    </w:p>
    <w:p w14:paraId="371A4BB6" w14:textId="77777777" w:rsidR="00126EE7" w:rsidRDefault="00126EE7" w:rsidP="00126EE7">
      <w:pPr>
        <w:jc w:val="both"/>
        <w:rPr>
          <w:rFonts w:ascii="Arial" w:eastAsia="Arial Unicode MS" w:hAnsi="Arial" w:cs="Arial"/>
          <w:color w:val="404040" w:themeColor="text1" w:themeTint="BF"/>
        </w:rPr>
      </w:pPr>
    </w:p>
    <w:p w14:paraId="06D7537F" w14:textId="77777777" w:rsidR="00126EE7" w:rsidRPr="00465BB5" w:rsidRDefault="00126EE7" w:rsidP="00126EE7">
      <w:pPr>
        <w:jc w:val="both"/>
        <w:rPr>
          <w:rFonts w:ascii="Arial" w:hAnsi="Arial" w:cs="Arial"/>
          <w:color w:val="404040" w:themeColor="text1" w:themeTint="BF"/>
        </w:rPr>
      </w:pPr>
      <w:r w:rsidRPr="00465BB5">
        <w:rPr>
          <w:rFonts w:ascii="Arial" w:eastAsia="Arial Unicode MS" w:hAnsi="Arial" w:cs="Arial"/>
          <w:color w:val="404040" w:themeColor="text1" w:themeTint="BF"/>
        </w:rPr>
        <w:t xml:space="preserve">Cuadro Núm. </w:t>
      </w:r>
      <w:r>
        <w:rPr>
          <w:rFonts w:ascii="Arial" w:eastAsia="Arial Unicode MS" w:hAnsi="Arial" w:cs="Arial"/>
          <w:color w:val="404040" w:themeColor="text1" w:themeTint="BF"/>
        </w:rPr>
        <w:t>2</w:t>
      </w:r>
      <w:r>
        <w:rPr>
          <w:rFonts w:ascii="Arial" w:eastAsia="Arial Unicode MS" w:hAnsi="Arial" w:cs="Arial"/>
          <w:color w:val="404040" w:themeColor="text1" w:themeTint="BF"/>
        </w:rPr>
        <w:tab/>
      </w:r>
      <w:r w:rsidRPr="00465BB5">
        <w:rPr>
          <w:rFonts w:ascii="Arial" w:hAnsi="Arial" w:cs="Arial"/>
          <w:color w:val="404040" w:themeColor="text1" w:themeTint="BF"/>
        </w:rPr>
        <w:t xml:space="preserve">EJECUCIÓN PRESUPUESTARIA POR DIRECCIÓN </w:t>
      </w:r>
      <w:r>
        <w:rPr>
          <w:rFonts w:ascii="Arial" w:hAnsi="Arial" w:cs="Arial"/>
          <w:color w:val="404040" w:themeColor="text1" w:themeTint="BF"/>
        </w:rPr>
        <w:t xml:space="preserve">                8           </w:t>
      </w:r>
    </w:p>
    <w:p w14:paraId="0DAAE277" w14:textId="77777777" w:rsidR="00126EE7" w:rsidRPr="00465BB5" w:rsidRDefault="00126EE7" w:rsidP="00126EE7">
      <w:pPr>
        <w:ind w:firstLine="1422"/>
        <w:jc w:val="both"/>
        <w:rPr>
          <w:rFonts w:ascii="Arial" w:eastAsia="Arial Unicode MS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          </w:t>
      </w:r>
      <w:r w:rsidRPr="00465BB5">
        <w:rPr>
          <w:rFonts w:ascii="Arial" w:hAnsi="Arial" w:cs="Arial"/>
          <w:color w:val="404040" w:themeColor="text1" w:themeTint="BF"/>
        </w:rPr>
        <w:t xml:space="preserve">Y PROYECTO, </w:t>
      </w:r>
      <w:r>
        <w:rPr>
          <w:rFonts w:ascii="Arial" w:hAnsi="Arial" w:cs="Arial"/>
          <w:color w:val="404040" w:themeColor="text1" w:themeTint="BF"/>
        </w:rPr>
        <w:t>AL</w:t>
      </w:r>
      <w:r w:rsidRPr="00465BB5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30 DE ABRIL</w:t>
      </w:r>
      <w:r>
        <w:rPr>
          <w:rFonts w:ascii="Arial" w:eastAsia="Arial Unicode MS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DE 2019</w:t>
      </w:r>
      <w:r>
        <w:rPr>
          <w:rFonts w:ascii="Arial" w:hAnsi="Arial" w:cs="Arial"/>
          <w:color w:val="404040" w:themeColor="text1" w:themeTint="BF"/>
        </w:rPr>
        <w:tab/>
        <w:t xml:space="preserve">                       </w:t>
      </w:r>
    </w:p>
    <w:p w14:paraId="6FBEB2F7" w14:textId="77777777" w:rsidR="00126EE7" w:rsidRPr="00465BB5" w:rsidRDefault="00126EE7" w:rsidP="00126EE7">
      <w:pPr>
        <w:jc w:val="both"/>
        <w:rPr>
          <w:rFonts w:ascii="Arial" w:eastAsia="Arial Unicode MS" w:hAnsi="Arial" w:cs="Arial"/>
          <w:color w:val="404040" w:themeColor="text1" w:themeTint="BF"/>
        </w:rPr>
      </w:pPr>
    </w:p>
    <w:p w14:paraId="01E48F5E" w14:textId="77777777" w:rsidR="00126EE7" w:rsidRPr="00465BB5" w:rsidRDefault="00126EE7" w:rsidP="00126EE7">
      <w:pPr>
        <w:rPr>
          <w:rFonts w:ascii="Arial" w:eastAsia="Arial Unicode MS" w:hAnsi="Arial" w:cs="Arial"/>
        </w:rPr>
      </w:pPr>
    </w:p>
    <w:p w14:paraId="385CB056" w14:textId="77777777" w:rsidR="00126EE7" w:rsidRPr="00465BB5" w:rsidRDefault="00126EE7" w:rsidP="00126EE7">
      <w:pPr>
        <w:rPr>
          <w:rFonts w:ascii="Arial" w:eastAsia="Arial Unicode MS" w:hAnsi="Arial" w:cs="Arial"/>
        </w:rPr>
      </w:pPr>
    </w:p>
    <w:p w14:paraId="56E5AD02" w14:textId="77777777" w:rsidR="00126EE7" w:rsidRPr="00465BB5" w:rsidRDefault="00126EE7" w:rsidP="00126EE7">
      <w:pPr>
        <w:rPr>
          <w:rFonts w:ascii="Arial" w:eastAsia="Arial Unicode MS" w:hAnsi="Arial" w:cs="Arial"/>
        </w:rPr>
      </w:pPr>
    </w:p>
    <w:p w14:paraId="442B076F" w14:textId="77777777" w:rsidR="00126EE7" w:rsidRPr="0069675F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41C901C5" w14:textId="77777777" w:rsidR="00126EE7" w:rsidRPr="0069675F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5755B13D" w14:textId="77777777" w:rsidR="00126EE7" w:rsidRPr="0069675F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0D7D66BA" w14:textId="77777777" w:rsidR="00126EE7" w:rsidRPr="0069675F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1EDAA0D3" w14:textId="77777777" w:rsidR="00126EE7" w:rsidRPr="0069675F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44587B6B" w14:textId="77777777" w:rsidR="00126EE7" w:rsidRPr="0069675F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11839DA0" w14:textId="77777777" w:rsidR="00126EE7" w:rsidRPr="0069675F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0142D03B" w14:textId="77777777" w:rsidR="00126EE7" w:rsidRPr="0069675F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7B3B1762" w14:textId="77777777" w:rsidR="00126EE7" w:rsidRDefault="00126EE7" w:rsidP="00126EE7">
      <w:pPr>
        <w:rPr>
          <w:rFonts w:ascii="Arial" w:eastAsia="Arial Unicode MS" w:hAnsi="Arial" w:cs="Arial"/>
          <w:sz w:val="22"/>
          <w:szCs w:val="22"/>
        </w:rPr>
      </w:pPr>
    </w:p>
    <w:p w14:paraId="040FEFF4" w14:textId="77777777" w:rsidR="00126EE7" w:rsidRPr="00D92F58" w:rsidRDefault="00126EE7" w:rsidP="00126EE7">
      <w:pPr>
        <w:rPr>
          <w:rFonts w:ascii="Arial" w:eastAsia="Arial Unicode MS" w:hAnsi="Arial" w:cs="Arial"/>
          <w:color w:val="333333"/>
        </w:rPr>
      </w:pPr>
      <w:r w:rsidRPr="00D92F58">
        <w:rPr>
          <w:rFonts w:ascii="Arial" w:eastAsia="Arial Unicode MS" w:hAnsi="Arial" w:cs="Arial"/>
          <w:b/>
          <w:color w:val="333333"/>
        </w:rPr>
        <w:lastRenderedPageBreak/>
        <w:t xml:space="preserve">MARCO GENERAL </w:t>
      </w:r>
    </w:p>
    <w:p w14:paraId="727528F2" w14:textId="77777777" w:rsidR="00126EE7" w:rsidRPr="00D92F58" w:rsidRDefault="00126EE7" w:rsidP="00126EE7">
      <w:pPr>
        <w:pStyle w:val="Textoindependiente"/>
        <w:widowControl/>
        <w:suppressAutoHyphens w:val="0"/>
        <w:autoSpaceDE/>
        <w:autoSpaceDN w:val="0"/>
        <w:spacing w:line="240" w:lineRule="auto"/>
        <w:rPr>
          <w:rFonts w:eastAsia="Arial Unicode MS"/>
          <w:bCs/>
          <w:color w:val="333333"/>
          <w:lang w:eastAsia="es-ES"/>
        </w:rPr>
      </w:pPr>
    </w:p>
    <w:p w14:paraId="13B0CCCB" w14:textId="77777777" w:rsidR="00126EE7" w:rsidRPr="00D92F58" w:rsidRDefault="00126EE7" w:rsidP="00126EE7">
      <w:pPr>
        <w:pStyle w:val="Textoindependiente"/>
        <w:widowControl/>
        <w:suppressAutoHyphens w:val="0"/>
        <w:autoSpaceDE/>
        <w:autoSpaceDN w:val="0"/>
        <w:spacing w:line="360" w:lineRule="auto"/>
        <w:rPr>
          <w:rFonts w:eastAsia="Arial Unicode MS"/>
          <w:bCs/>
          <w:color w:val="333333"/>
          <w:lang w:eastAsia="es-ES"/>
        </w:rPr>
      </w:pPr>
      <w:r w:rsidRPr="00D92F58">
        <w:rPr>
          <w:rFonts w:eastAsia="Arial Unicode MS"/>
          <w:bCs/>
          <w:color w:val="333333"/>
          <w:lang w:eastAsia="es-ES"/>
        </w:rPr>
        <w:t>El presente informe contiene los movimientos realizados al</w:t>
      </w:r>
      <w:r>
        <w:rPr>
          <w:rFonts w:eastAsia="Arial Unicode MS"/>
          <w:bCs/>
          <w:color w:val="333333"/>
          <w:lang w:eastAsia="es-ES"/>
        </w:rPr>
        <w:t xml:space="preserve"> 30 de abril</w:t>
      </w:r>
      <w:r w:rsidRPr="00D92F58">
        <w:rPr>
          <w:rFonts w:eastAsia="Arial Unicode MS"/>
          <w:bCs/>
          <w:color w:val="333333"/>
          <w:lang w:eastAsia="es-ES"/>
        </w:rPr>
        <w:t xml:space="preserve"> de 2019, reflejando sus variantes y el registro de su avance; correspondiente a la gestión administrativa, gastos e inversiones, basados en el Presupuesto del Ministerio de Relaciones Exteriores.</w:t>
      </w:r>
    </w:p>
    <w:p w14:paraId="00AD4B69" w14:textId="77777777" w:rsidR="00126EE7" w:rsidRPr="00D92F58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</w:rPr>
      </w:pPr>
    </w:p>
    <w:p w14:paraId="1332AF73" w14:textId="77777777" w:rsidR="00126EE7" w:rsidRDefault="00126EE7" w:rsidP="00126EE7">
      <w:pPr>
        <w:pStyle w:val="Sinespaciado"/>
        <w:spacing w:line="360" w:lineRule="auto"/>
        <w:jc w:val="both"/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</w:pPr>
      <w:r w:rsidRPr="00D92F58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El Presupuesto Ley del Ministerio de Relaciones Exteriores para la vigencia fiscal 2019</w:t>
      </w:r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, es por la suma </w:t>
      </w:r>
      <w:r w:rsidRPr="00D92F58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 </w:t>
      </w:r>
      <w:r w:rsidRPr="00FF3BAF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B/.6</w:t>
      </w:r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6</w:t>
      </w:r>
      <w:proofErr w:type="gramStart"/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,037,868</w:t>
      </w:r>
      <w:proofErr w:type="gramEnd"/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 </w:t>
      </w:r>
      <w:r w:rsidRPr="00D92F58">
        <w:rPr>
          <w:rFonts w:ascii="Arial" w:eastAsia="Arial Unicode MS" w:hAnsi="Arial" w:cs="Arial"/>
          <w:b/>
          <w:bCs/>
          <w:color w:val="333333"/>
          <w:sz w:val="24"/>
          <w:szCs w:val="24"/>
          <w:lang w:val="es-ES" w:eastAsia="es-ES"/>
        </w:rPr>
        <w:t xml:space="preserve"> </w:t>
      </w:r>
      <w:r w:rsidRPr="007E2F14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y el Presupuesto Modificado es B/.66,262,868</w:t>
      </w:r>
      <w:r>
        <w:rPr>
          <w:rFonts w:ascii="Arial" w:eastAsia="Arial Unicode MS" w:hAnsi="Arial" w:cs="Arial"/>
          <w:b/>
          <w:bCs/>
          <w:color w:val="333333"/>
          <w:sz w:val="24"/>
          <w:szCs w:val="24"/>
          <w:lang w:val="es-ES" w:eastAsia="es-ES"/>
        </w:rPr>
        <w:t xml:space="preserve">. </w:t>
      </w:r>
      <w:r w:rsidRPr="007E2F14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Se refleja un </w:t>
      </w:r>
      <w:r w:rsidRPr="00FF3BAF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incremento por traslado Interinstitucional del Ministerio de Seguridad Pública por B/.75,000 para e</w:t>
      </w:r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l 2017 y B/.75,000 para el 2019,</w:t>
      </w:r>
      <w:r w:rsidRPr="00FF3BAF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 </w:t>
      </w:r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Ministerio de la Presidencia (Consejo de Seguridad Nacional) por B/.75,000, </w:t>
      </w:r>
      <w:r w:rsidRPr="00FF3BAF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para el pago de Cuotas a Organismos Internacionales, para el cumplimiento de Acuerdo Interinstitucional entre las Naciones </w:t>
      </w:r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Unidas y la República de panamá</w:t>
      </w:r>
      <w:r w:rsidRPr="00FF3BAF"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, concerniente a las modalidades de cooperación para el establecimiento y funcionamiento de las Naciones Unidas contra la Droga y el Delito ( </w:t>
      </w:r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UNODC ).</w:t>
      </w:r>
    </w:p>
    <w:p w14:paraId="1A817A04" w14:textId="77777777" w:rsidR="00126EE7" w:rsidRDefault="00126EE7" w:rsidP="00126EE7">
      <w:pPr>
        <w:pStyle w:val="Sinespaciado"/>
        <w:spacing w:line="360" w:lineRule="auto"/>
        <w:jc w:val="both"/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</w:pPr>
    </w:p>
    <w:p w14:paraId="7432A302" w14:textId="77777777" w:rsidR="00126EE7" w:rsidRPr="00FF3BAF" w:rsidRDefault="00126EE7" w:rsidP="00126EE7">
      <w:pPr>
        <w:pStyle w:val="Sinespaciado"/>
        <w:spacing w:line="360" w:lineRule="auto"/>
        <w:jc w:val="both"/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</w:pPr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El Presupuesto Modificado se desglosa en B/.63</w:t>
      </w:r>
      <w:proofErr w:type="gramStart"/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>,648,830</w:t>
      </w:r>
      <w:proofErr w:type="gramEnd"/>
      <w:r>
        <w:rPr>
          <w:rFonts w:ascii="Arial" w:eastAsia="Arial Unicode MS" w:hAnsi="Arial" w:cs="Arial"/>
          <w:bCs/>
          <w:color w:val="333333"/>
          <w:sz w:val="24"/>
          <w:szCs w:val="24"/>
          <w:lang w:val="es-ES" w:eastAsia="es-ES"/>
        </w:rPr>
        <w:t xml:space="preserve">  que corresponden a Gastos de Funcionamiento y B/.2,614,038 que corresponden a Gastos de Inversión.</w:t>
      </w:r>
    </w:p>
    <w:p w14:paraId="55A48B15" w14:textId="77777777" w:rsidR="00126EE7" w:rsidRPr="00A57671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  <w:highlight w:val="lightGray"/>
        </w:rPr>
      </w:pPr>
    </w:p>
    <w:p w14:paraId="247896E6" w14:textId="77777777" w:rsidR="00126EE7" w:rsidRPr="00A57671" w:rsidRDefault="00126EE7" w:rsidP="00126EE7">
      <w:pPr>
        <w:spacing w:line="360" w:lineRule="auto"/>
        <w:jc w:val="center"/>
        <w:rPr>
          <w:rFonts w:ascii="Arial" w:eastAsia="Arial Unicode MS" w:hAnsi="Arial" w:cs="Arial"/>
          <w:bCs/>
          <w:color w:val="333333"/>
          <w:highlight w:val="lightGray"/>
        </w:rPr>
      </w:pPr>
      <w:r w:rsidRPr="00A57671">
        <w:rPr>
          <w:noProof/>
          <w:highlight w:val="lightGray"/>
          <w:lang w:val="es-PA" w:eastAsia="es-PA"/>
        </w:rPr>
        <w:lastRenderedPageBreak/>
        <w:drawing>
          <wp:inline distT="0" distB="0" distL="0" distR="0" wp14:anchorId="25B639EE" wp14:editId="05E7A4C1">
            <wp:extent cx="4762831" cy="2393343"/>
            <wp:effectExtent l="0" t="0" r="0" b="698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41A91B" w14:textId="77777777" w:rsidR="00126EE7" w:rsidRPr="00A57671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  <w:highlight w:val="lightGray"/>
        </w:rPr>
      </w:pPr>
      <w:r w:rsidRPr="00A57671">
        <w:rPr>
          <w:rFonts w:ascii="Arial" w:eastAsia="Arial Unicode MS" w:hAnsi="Arial" w:cs="Arial"/>
          <w:bCs/>
          <w:color w:val="333333"/>
          <w:highlight w:val="lightGray"/>
        </w:rPr>
        <w:t xml:space="preserve">  </w:t>
      </w:r>
    </w:p>
    <w:p w14:paraId="0F014974" w14:textId="77777777" w:rsidR="00126EE7" w:rsidRPr="00D92F58" w:rsidRDefault="00126EE7" w:rsidP="00126EE7">
      <w:pPr>
        <w:spacing w:line="360" w:lineRule="auto"/>
        <w:ind w:right="-70"/>
        <w:jc w:val="both"/>
        <w:rPr>
          <w:rFonts w:ascii="Arial" w:eastAsia="Arial Unicode MS" w:hAnsi="Arial" w:cs="Arial"/>
          <w:b/>
          <w:bCs/>
          <w:color w:val="333333"/>
        </w:rPr>
      </w:pPr>
      <w:r w:rsidRPr="00D92F58">
        <w:rPr>
          <w:rFonts w:ascii="Arial" w:eastAsia="Arial Unicode MS" w:hAnsi="Arial" w:cs="Arial"/>
          <w:color w:val="333333"/>
        </w:rPr>
        <w:t xml:space="preserve">El Presupuesto Total Asignado al </w:t>
      </w:r>
      <w:r>
        <w:rPr>
          <w:rFonts w:ascii="Arial" w:eastAsia="Arial Unicode MS" w:hAnsi="Arial" w:cs="Arial"/>
          <w:color w:val="333333"/>
        </w:rPr>
        <w:t>30 de abril</w:t>
      </w:r>
      <w:r w:rsidRPr="00D92F58">
        <w:rPr>
          <w:rFonts w:ascii="Arial" w:eastAsia="Arial Unicode MS" w:hAnsi="Arial" w:cs="Arial"/>
          <w:color w:val="333333"/>
        </w:rPr>
        <w:t xml:space="preserve"> es de </w:t>
      </w:r>
      <w:r w:rsidRPr="00D92F58">
        <w:rPr>
          <w:rFonts w:ascii="Arial" w:eastAsia="Arial Unicode MS" w:hAnsi="Arial" w:cs="Arial"/>
          <w:b/>
          <w:color w:val="333333"/>
        </w:rPr>
        <w:t>B/.</w:t>
      </w:r>
      <w:r>
        <w:rPr>
          <w:rFonts w:ascii="Arial" w:eastAsia="Arial Unicode MS" w:hAnsi="Arial" w:cs="Arial"/>
          <w:b/>
          <w:color w:val="333333"/>
        </w:rPr>
        <w:t>30</w:t>
      </w:r>
      <w:proofErr w:type="gramStart"/>
      <w:r>
        <w:rPr>
          <w:rFonts w:ascii="Arial" w:eastAsia="Arial Unicode MS" w:hAnsi="Arial" w:cs="Arial"/>
          <w:b/>
          <w:color w:val="333333"/>
        </w:rPr>
        <w:t>,040,992</w:t>
      </w:r>
      <w:proofErr w:type="gramEnd"/>
      <w:r w:rsidRPr="00D92F58">
        <w:rPr>
          <w:rFonts w:ascii="Arial" w:hAnsi="Arial" w:cs="Arial"/>
          <w:b/>
          <w:bCs/>
          <w:color w:val="000000"/>
        </w:rPr>
        <w:t xml:space="preserve"> </w:t>
      </w:r>
      <w:r w:rsidRPr="00D92F58">
        <w:rPr>
          <w:rFonts w:ascii="Arial" w:eastAsia="Arial Unicode MS" w:hAnsi="Arial" w:cs="Arial"/>
          <w:color w:val="333333"/>
        </w:rPr>
        <w:t>de</w:t>
      </w:r>
      <w:r w:rsidRPr="00D92F58">
        <w:rPr>
          <w:rFonts w:ascii="Arial" w:eastAsia="Arial Unicode MS" w:hAnsi="Arial" w:cs="Arial"/>
          <w:b/>
          <w:color w:val="333333"/>
        </w:rPr>
        <w:t xml:space="preserve"> </w:t>
      </w:r>
      <w:r w:rsidRPr="00D92F58">
        <w:rPr>
          <w:rFonts w:ascii="Arial" w:eastAsia="Arial Unicode MS" w:hAnsi="Arial" w:cs="Arial"/>
          <w:color w:val="333333"/>
        </w:rPr>
        <w:t xml:space="preserve">los cuales </w:t>
      </w:r>
      <w:r w:rsidRPr="00D92F58">
        <w:rPr>
          <w:rFonts w:ascii="Arial" w:eastAsia="Arial Unicode MS" w:hAnsi="Arial" w:cs="Arial"/>
          <w:b/>
          <w:color w:val="333333"/>
        </w:rPr>
        <w:t>B/.</w:t>
      </w:r>
      <w:r>
        <w:rPr>
          <w:rFonts w:ascii="Arial" w:eastAsia="Arial Unicode MS" w:hAnsi="Arial" w:cs="Arial"/>
          <w:b/>
          <w:bCs/>
          <w:color w:val="333333"/>
        </w:rPr>
        <w:t>27,483,954</w:t>
      </w:r>
      <w:r w:rsidRPr="00D92F58">
        <w:rPr>
          <w:rFonts w:ascii="Arial" w:eastAsia="Arial Unicode MS" w:hAnsi="Arial" w:cs="Arial"/>
          <w:b/>
          <w:bCs/>
          <w:color w:val="333333"/>
        </w:rPr>
        <w:t xml:space="preserve"> </w:t>
      </w:r>
      <w:r w:rsidRPr="00D92F58">
        <w:rPr>
          <w:rFonts w:ascii="Arial" w:eastAsia="Arial Unicode MS" w:hAnsi="Arial" w:cs="Arial"/>
          <w:color w:val="333333"/>
        </w:rPr>
        <w:t>(9</w:t>
      </w:r>
      <w:r>
        <w:rPr>
          <w:rFonts w:ascii="Arial" w:eastAsia="Arial Unicode MS" w:hAnsi="Arial" w:cs="Arial"/>
          <w:color w:val="333333"/>
        </w:rPr>
        <w:t>1</w:t>
      </w:r>
      <w:r w:rsidRPr="00D92F58">
        <w:rPr>
          <w:rFonts w:ascii="Arial" w:eastAsia="Arial Unicode MS" w:hAnsi="Arial" w:cs="Arial"/>
          <w:color w:val="333333"/>
        </w:rPr>
        <w:t xml:space="preserve">%) corresponden a Gastos de Funcionamiento y </w:t>
      </w:r>
      <w:r w:rsidRPr="00D92F58">
        <w:rPr>
          <w:rFonts w:ascii="Arial" w:eastAsia="Arial Unicode MS" w:hAnsi="Arial" w:cs="Arial"/>
          <w:b/>
          <w:color w:val="333333"/>
        </w:rPr>
        <w:t>B/.</w:t>
      </w:r>
      <w:r>
        <w:rPr>
          <w:rFonts w:ascii="Arial" w:eastAsia="Arial Unicode MS" w:hAnsi="Arial" w:cs="Arial"/>
          <w:b/>
          <w:color w:val="333333"/>
        </w:rPr>
        <w:t>2,557,038</w:t>
      </w:r>
      <w:r w:rsidRPr="00D92F58">
        <w:rPr>
          <w:rFonts w:ascii="Arial" w:eastAsia="Arial Unicode MS" w:hAnsi="Arial" w:cs="Arial"/>
          <w:b/>
          <w:color w:val="333333"/>
        </w:rPr>
        <w:t xml:space="preserve"> </w:t>
      </w:r>
      <w:r w:rsidRPr="00D92F58">
        <w:rPr>
          <w:rFonts w:ascii="Arial" w:eastAsia="Arial Unicode MS" w:hAnsi="Arial" w:cs="Arial"/>
          <w:color w:val="333333"/>
        </w:rPr>
        <w:t>(</w:t>
      </w:r>
      <w:r>
        <w:rPr>
          <w:rFonts w:ascii="Arial" w:eastAsia="Arial Unicode MS" w:hAnsi="Arial" w:cs="Arial"/>
          <w:color w:val="333333"/>
        </w:rPr>
        <w:t>9</w:t>
      </w:r>
      <w:r w:rsidRPr="00D92F58">
        <w:rPr>
          <w:rFonts w:ascii="Arial" w:eastAsia="Arial Unicode MS" w:hAnsi="Arial" w:cs="Arial"/>
          <w:color w:val="333333"/>
        </w:rPr>
        <w:t>%) a Gastos de Inversión. De la asignación acumulada para estos Gastos de Funcionamiento e Inversión, se ejecutó el (</w:t>
      </w:r>
      <w:r>
        <w:rPr>
          <w:rFonts w:ascii="Arial" w:eastAsia="Arial Unicode MS" w:hAnsi="Arial" w:cs="Arial"/>
          <w:color w:val="333333"/>
        </w:rPr>
        <w:t>77</w:t>
      </w:r>
      <w:r w:rsidRPr="00D92F58">
        <w:rPr>
          <w:rFonts w:ascii="Arial" w:eastAsia="Arial Unicode MS" w:hAnsi="Arial" w:cs="Arial"/>
          <w:color w:val="333333"/>
        </w:rPr>
        <w:t xml:space="preserve">%); es decir, </w:t>
      </w:r>
      <w:r w:rsidRPr="00D92F58">
        <w:rPr>
          <w:rFonts w:ascii="Arial" w:eastAsia="Arial Unicode MS" w:hAnsi="Arial" w:cs="Arial"/>
          <w:b/>
          <w:color w:val="333333"/>
        </w:rPr>
        <w:t>B/.</w:t>
      </w:r>
      <w:r>
        <w:rPr>
          <w:rFonts w:ascii="Arial" w:eastAsia="Arial Unicode MS" w:hAnsi="Arial" w:cs="Arial"/>
          <w:b/>
          <w:bCs/>
          <w:color w:val="333333"/>
        </w:rPr>
        <w:t>22</w:t>
      </w:r>
      <w:proofErr w:type="gramStart"/>
      <w:r>
        <w:rPr>
          <w:rFonts w:ascii="Arial" w:eastAsia="Arial Unicode MS" w:hAnsi="Arial" w:cs="Arial"/>
          <w:b/>
          <w:bCs/>
          <w:color w:val="333333"/>
        </w:rPr>
        <w:t>,986,982</w:t>
      </w:r>
      <w:proofErr w:type="gramEnd"/>
      <w:r w:rsidRPr="00D92F58">
        <w:rPr>
          <w:rFonts w:ascii="Arial" w:eastAsia="Arial Unicode MS" w:hAnsi="Arial" w:cs="Arial"/>
          <w:b/>
          <w:bCs/>
          <w:color w:val="333333"/>
        </w:rPr>
        <w:t>.</w:t>
      </w:r>
    </w:p>
    <w:p w14:paraId="3F6B960C" w14:textId="77777777" w:rsidR="00126EE7" w:rsidRPr="00D92F58" w:rsidRDefault="00126EE7" w:rsidP="00126EE7">
      <w:pPr>
        <w:spacing w:line="360" w:lineRule="auto"/>
        <w:ind w:right="-70"/>
        <w:jc w:val="both"/>
        <w:rPr>
          <w:rFonts w:ascii="Arial" w:eastAsia="Arial Unicode MS" w:hAnsi="Arial" w:cs="Arial"/>
          <w:b/>
          <w:bCs/>
          <w:color w:val="333333"/>
        </w:rPr>
      </w:pPr>
    </w:p>
    <w:p w14:paraId="1D6818F6" w14:textId="77777777" w:rsidR="00126EE7" w:rsidRPr="002B4423" w:rsidRDefault="00126EE7" w:rsidP="00126EE7">
      <w:pPr>
        <w:spacing w:line="360" w:lineRule="auto"/>
        <w:ind w:right="-70"/>
        <w:jc w:val="both"/>
        <w:rPr>
          <w:rFonts w:ascii="Arial" w:eastAsia="Arial Unicode MS" w:hAnsi="Arial" w:cs="Arial"/>
          <w:color w:val="333333"/>
        </w:rPr>
      </w:pPr>
      <w:r w:rsidRPr="00D92F58">
        <w:rPr>
          <w:rFonts w:ascii="Arial" w:eastAsia="Arial Unicode MS" w:hAnsi="Arial" w:cs="Arial"/>
          <w:color w:val="333333"/>
        </w:rPr>
        <w:t>En el Presupu</w:t>
      </w:r>
      <w:r>
        <w:rPr>
          <w:rFonts w:ascii="Arial" w:eastAsia="Arial Unicode MS" w:hAnsi="Arial" w:cs="Arial"/>
          <w:color w:val="333333"/>
        </w:rPr>
        <w:t>esto se registra al 30 de abril</w:t>
      </w:r>
      <w:r w:rsidRPr="00D92F58">
        <w:rPr>
          <w:rFonts w:ascii="Arial" w:eastAsia="Arial Unicode MS" w:hAnsi="Arial" w:cs="Arial"/>
          <w:color w:val="333333"/>
        </w:rPr>
        <w:t xml:space="preserve">, una ejecución total acumulada de  </w:t>
      </w:r>
      <w:r w:rsidRPr="00D92F58">
        <w:rPr>
          <w:rFonts w:ascii="Arial" w:eastAsia="Arial Unicode MS" w:hAnsi="Arial" w:cs="Arial"/>
          <w:b/>
          <w:color w:val="333333"/>
        </w:rPr>
        <w:t>B/.</w:t>
      </w:r>
      <w:r>
        <w:rPr>
          <w:rFonts w:ascii="Arial" w:eastAsia="Arial Unicode MS" w:hAnsi="Arial" w:cs="Arial"/>
          <w:b/>
          <w:color w:val="333333"/>
        </w:rPr>
        <w:t>20</w:t>
      </w:r>
      <w:proofErr w:type="gramStart"/>
      <w:r>
        <w:rPr>
          <w:rFonts w:ascii="Arial" w:eastAsia="Arial Unicode MS" w:hAnsi="Arial" w:cs="Arial"/>
          <w:b/>
          <w:color w:val="333333"/>
        </w:rPr>
        <w:t>,709,466</w:t>
      </w:r>
      <w:proofErr w:type="gramEnd"/>
      <w:r w:rsidRPr="00D92F58">
        <w:rPr>
          <w:rFonts w:ascii="Arial" w:eastAsia="Arial Unicode MS" w:hAnsi="Arial" w:cs="Arial"/>
          <w:b/>
          <w:color w:val="333333"/>
        </w:rPr>
        <w:t xml:space="preserve"> </w:t>
      </w:r>
      <w:r>
        <w:rPr>
          <w:rFonts w:ascii="Arial" w:eastAsia="Arial Unicode MS" w:hAnsi="Arial" w:cs="Arial"/>
          <w:color w:val="333333"/>
        </w:rPr>
        <w:t>mostrando el (75</w:t>
      </w:r>
      <w:r w:rsidRPr="00D92F58">
        <w:rPr>
          <w:rFonts w:ascii="Arial" w:eastAsia="Arial Unicode MS" w:hAnsi="Arial" w:cs="Arial"/>
          <w:color w:val="333333"/>
        </w:rPr>
        <w:t xml:space="preserve">%) de avance relativo a la asignación del Presupuesto  de Funcionamiento por </w:t>
      </w:r>
      <w:r w:rsidRPr="00D92F58">
        <w:rPr>
          <w:rFonts w:ascii="Arial" w:eastAsia="Arial Unicode MS" w:hAnsi="Arial" w:cs="Arial"/>
          <w:b/>
          <w:color w:val="333333"/>
        </w:rPr>
        <w:t>B/.</w:t>
      </w:r>
      <w:r>
        <w:rPr>
          <w:rFonts w:ascii="Arial" w:eastAsia="Arial Unicode MS" w:hAnsi="Arial" w:cs="Arial"/>
          <w:b/>
          <w:color w:val="333333"/>
        </w:rPr>
        <w:t>27,483,954</w:t>
      </w:r>
      <w:r w:rsidRPr="00D92F58">
        <w:rPr>
          <w:rFonts w:ascii="Arial" w:eastAsia="Arial Unicode MS" w:hAnsi="Arial" w:cs="Arial"/>
          <w:b/>
          <w:color w:val="333333"/>
        </w:rPr>
        <w:t xml:space="preserve">. </w:t>
      </w:r>
      <w:r w:rsidRPr="00D92F58">
        <w:rPr>
          <w:rFonts w:ascii="Arial" w:eastAsia="Arial Unicode MS" w:hAnsi="Arial" w:cs="Arial"/>
          <w:color w:val="333333"/>
        </w:rPr>
        <w:t xml:space="preserve">El Presupuesto de Inversión muestra una ejecución acumulada de </w:t>
      </w:r>
      <w:r w:rsidRPr="00D92F58">
        <w:rPr>
          <w:rFonts w:ascii="Arial" w:eastAsia="Arial Unicode MS" w:hAnsi="Arial" w:cs="Arial"/>
          <w:b/>
          <w:color w:val="333333"/>
        </w:rPr>
        <w:t>B/.</w:t>
      </w:r>
      <w:r>
        <w:rPr>
          <w:rFonts w:ascii="Arial" w:eastAsia="Arial Unicode MS" w:hAnsi="Arial" w:cs="Arial"/>
          <w:b/>
          <w:color w:val="333333"/>
        </w:rPr>
        <w:t>2</w:t>
      </w:r>
      <w:proofErr w:type="gramStart"/>
      <w:r>
        <w:rPr>
          <w:rFonts w:ascii="Arial" w:eastAsia="Arial Unicode MS" w:hAnsi="Arial" w:cs="Arial"/>
          <w:b/>
          <w:color w:val="333333"/>
        </w:rPr>
        <w:t>,277,515</w:t>
      </w:r>
      <w:proofErr w:type="gramEnd"/>
      <w:r w:rsidRPr="00D92F58">
        <w:rPr>
          <w:rFonts w:ascii="Arial" w:eastAsia="Arial Unicode MS" w:hAnsi="Arial" w:cs="Arial"/>
          <w:b/>
          <w:color w:val="333333"/>
        </w:rPr>
        <w:t xml:space="preserve"> </w:t>
      </w:r>
      <w:r>
        <w:rPr>
          <w:rFonts w:ascii="Arial" w:eastAsia="Arial Unicode MS" w:hAnsi="Arial" w:cs="Arial"/>
          <w:color w:val="333333"/>
        </w:rPr>
        <w:t>es decir un (89</w:t>
      </w:r>
      <w:r w:rsidRPr="00D92F58">
        <w:rPr>
          <w:rFonts w:ascii="Arial" w:eastAsia="Arial Unicode MS" w:hAnsi="Arial" w:cs="Arial"/>
          <w:color w:val="333333"/>
        </w:rPr>
        <w:t>%) durante el mes de estudio.</w:t>
      </w:r>
    </w:p>
    <w:p w14:paraId="3D925D99" w14:textId="77777777" w:rsidR="00126EE7" w:rsidRDefault="00126EE7" w:rsidP="00126EE7">
      <w:pPr>
        <w:spacing w:line="360" w:lineRule="auto"/>
        <w:ind w:right="-70"/>
        <w:jc w:val="both"/>
        <w:rPr>
          <w:rFonts w:ascii="Arial" w:eastAsia="Arial Unicode MS" w:hAnsi="Arial" w:cs="Arial"/>
          <w:b/>
          <w:bCs/>
          <w:color w:val="333333"/>
        </w:rPr>
      </w:pPr>
    </w:p>
    <w:tbl>
      <w:tblPr>
        <w:tblW w:w="13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1651"/>
        <w:gridCol w:w="1193"/>
        <w:gridCol w:w="1649"/>
        <w:gridCol w:w="1598"/>
        <w:gridCol w:w="1472"/>
        <w:gridCol w:w="1674"/>
      </w:tblGrid>
      <w:tr w:rsidR="00126EE7" w14:paraId="10CFCA2F" w14:textId="77777777" w:rsidTr="00126EE7">
        <w:trPr>
          <w:trHeight w:val="193"/>
        </w:trPr>
        <w:tc>
          <w:tcPr>
            <w:tcW w:w="13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D9452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PA" w:eastAsia="es-P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Cuadro Núm. 1 EJECUCIÓN PRESUPUESTARIA POR OBJETO DE GASTO</w:t>
            </w:r>
          </w:p>
        </w:tc>
      </w:tr>
      <w:tr w:rsidR="00126EE7" w14:paraId="3319B841" w14:textId="77777777" w:rsidTr="00126EE7">
        <w:trPr>
          <w:trHeight w:val="193"/>
        </w:trPr>
        <w:tc>
          <w:tcPr>
            <w:tcW w:w="13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2FFD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 30 ABRIL DE 2019</w:t>
            </w:r>
          </w:p>
        </w:tc>
      </w:tr>
      <w:tr w:rsidR="00126EE7" w14:paraId="2FF79020" w14:textId="77777777" w:rsidTr="00126EE7">
        <w:trPr>
          <w:trHeight w:val="203"/>
        </w:trPr>
        <w:tc>
          <w:tcPr>
            <w:tcW w:w="13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E6A0E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(en Balboas)</w:t>
            </w:r>
          </w:p>
        </w:tc>
      </w:tr>
      <w:tr w:rsidR="00126EE7" w14:paraId="7A81EB71" w14:textId="77777777" w:rsidTr="00126EE7">
        <w:trPr>
          <w:trHeight w:val="398"/>
        </w:trPr>
        <w:tc>
          <w:tcPr>
            <w:tcW w:w="3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60EAF9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DETALLE</w:t>
            </w:r>
          </w:p>
        </w:tc>
        <w:tc>
          <w:tcPr>
            <w:tcW w:w="2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233A01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PRESUPUESTO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5399E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EJECUCIÓN ACUMULADA A LA FECHA 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0229D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CONTRATOS POR EJECUTAR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CAE0F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SALDO A LA FECHA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E6B2A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VARIACIÓN PORCENTUAL EJECUTADO VS ASIGNADO (6)=(3/2)*100</w:t>
            </w:r>
          </w:p>
        </w:tc>
      </w:tr>
      <w:tr w:rsidR="00126EE7" w14:paraId="4CA6DCD1" w14:textId="77777777" w:rsidTr="00126EE7">
        <w:trPr>
          <w:trHeight w:val="203"/>
        </w:trPr>
        <w:tc>
          <w:tcPr>
            <w:tcW w:w="3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24F4D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9238C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MODIFICADO                              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75A540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ASIGNADO</w:t>
            </w: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15799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A7022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CA33E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F41A9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6EE7" w14:paraId="0A6D3206" w14:textId="77777777" w:rsidTr="00126EE7">
        <w:trPr>
          <w:trHeight w:val="203"/>
        </w:trPr>
        <w:tc>
          <w:tcPr>
            <w:tcW w:w="3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21166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236DF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FC10F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E3132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20F5A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3AE69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(5)=(2)-(3)</w:t>
            </w: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CD43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6EE7" w14:paraId="696D02AC" w14:textId="77777777" w:rsidTr="00126EE7">
        <w:trPr>
          <w:trHeight w:val="388"/>
        </w:trPr>
        <w:tc>
          <w:tcPr>
            <w:tcW w:w="3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24C9E1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de funcionamiento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16AF9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63,648,830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188B6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27,483,954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64EB6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20,709,466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6767A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368,705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C28C6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6,774,488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4F08D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75%</w:t>
            </w:r>
          </w:p>
        </w:tc>
      </w:tr>
      <w:tr w:rsidR="00126EE7" w14:paraId="7EEDAC06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7C32" w14:textId="77777777" w:rsidR="00126EE7" w:rsidRDefault="00126EE7" w:rsidP="001122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Servicios Personales</w:t>
            </w:r>
          </w:p>
        </w:tc>
        <w:tc>
          <w:tcPr>
            <w:tcW w:w="16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395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21,071,350</w:t>
            </w:r>
          </w:p>
        </w:tc>
        <w:tc>
          <w:tcPr>
            <w:tcW w:w="119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B59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7,088,641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72F3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4,305,129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432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1F352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2,783,512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04A43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61%</w:t>
            </w:r>
          </w:p>
        </w:tc>
      </w:tr>
      <w:tr w:rsidR="00126EE7" w14:paraId="6C3FCA57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D7184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Personal Fijo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C139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11,889,763</w:t>
            </w:r>
          </w:p>
        </w:tc>
        <w:tc>
          <w:tcPr>
            <w:tcW w:w="119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93A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3,775,469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4A4E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2,551,678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993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05E4C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1,223,791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E4D7F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68%</w:t>
            </w:r>
          </w:p>
        </w:tc>
      </w:tr>
      <w:tr w:rsidR="00126EE7" w14:paraId="29513000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5733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Personal Transitorio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3970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1,413,488</w:t>
            </w:r>
          </w:p>
        </w:tc>
        <w:tc>
          <w:tcPr>
            <w:tcW w:w="119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E604578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412,314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E6E2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340,107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0874139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DE85E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72,207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854FC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82%</w:t>
            </w:r>
          </w:p>
        </w:tc>
      </w:tr>
      <w:tr w:rsidR="00126EE7" w14:paraId="056A5644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B2B6B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Sobresueldos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834A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261,300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2925213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261,300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727A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22,240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C2B886A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D1909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239,060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62F89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9%</w:t>
            </w:r>
          </w:p>
        </w:tc>
      </w:tr>
      <w:tr w:rsidR="00126EE7" w14:paraId="33CF2550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C2AB9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Gastos de Representación Fijos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D003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3,857,751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35BDDC1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1,191,286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06B7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580,762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3A9468A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3EE7B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610,524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0B010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49%</w:t>
            </w:r>
          </w:p>
        </w:tc>
      </w:tr>
      <w:tr w:rsidR="00126EE7" w14:paraId="7B87C459" w14:textId="77777777" w:rsidTr="00126EE7">
        <w:trPr>
          <w:trHeight w:val="203"/>
        </w:trPr>
        <w:tc>
          <w:tcPr>
            <w:tcW w:w="3992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3D30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Décimo Tercer Mes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2D15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430,600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65E2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143,867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4E1E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E8BA58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9CA3E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23,810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067B8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83%</w:t>
            </w:r>
          </w:p>
        </w:tc>
      </w:tr>
      <w:tr w:rsidR="00126EE7" w14:paraId="5BAC79A4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879D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Contribuciones a la Seguridad Social</w:t>
            </w:r>
          </w:p>
        </w:tc>
        <w:tc>
          <w:tcPr>
            <w:tcW w:w="16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3607C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2,927,698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955B5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1,159,030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C05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678,285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D65B828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6A07D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480,745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7999A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59%</w:t>
            </w:r>
          </w:p>
        </w:tc>
      </w:tr>
      <w:tr w:rsidR="00126EE7" w14:paraId="49605FDB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7A79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 servicios personales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E2B08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98C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67C8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3ACC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98776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88,000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EB486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12%</w:t>
            </w:r>
          </w:p>
        </w:tc>
      </w:tr>
      <w:tr w:rsidR="00126EE7" w14:paraId="1513AA16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32F9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Gratificaciones, incentivos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228D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90,750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844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45,375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EFF5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8B7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DC2BB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45,375</w:t>
            </w: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439A1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126EE7" w14:paraId="42281268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0C43E" w14:textId="77777777" w:rsidR="00126EE7" w:rsidRDefault="00126EE7" w:rsidP="001122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5457B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25,242,052</w:t>
            </w:r>
          </w:p>
        </w:tc>
        <w:tc>
          <w:tcPr>
            <w:tcW w:w="119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BE75A0C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12,374,919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5A72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11,063,144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AA53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368,705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ADCA4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1,311,775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F32AE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89%</w:t>
            </w:r>
          </w:p>
        </w:tc>
      </w:tr>
      <w:tr w:rsidR="00126EE7" w14:paraId="0CBC7402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E76A" w14:textId="77777777" w:rsidR="00126EE7" w:rsidRDefault="00126EE7" w:rsidP="001122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Materiales y Suministros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899DD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955,354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2336A48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395,522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326F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179,998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C78A3D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24EF0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215,524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B3351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46%</w:t>
            </w:r>
          </w:p>
        </w:tc>
      </w:tr>
      <w:tr w:rsidR="00126EE7" w14:paraId="11188910" w14:textId="77777777" w:rsidTr="00126EE7">
        <w:trPr>
          <w:trHeight w:val="203"/>
        </w:trPr>
        <w:tc>
          <w:tcPr>
            <w:tcW w:w="3992" w:type="dxa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3271" w14:textId="77777777" w:rsidR="00126EE7" w:rsidRDefault="00126EE7" w:rsidP="001122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Transferencias Corrientes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AD7F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5,494,672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58CF4E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2,338,103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1724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1,185,655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A142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0515F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1,152,448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E6EAB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51%</w:t>
            </w:r>
          </w:p>
        </w:tc>
      </w:tr>
      <w:tr w:rsidR="00126EE7" w14:paraId="12842B70" w14:textId="77777777" w:rsidTr="00126EE7">
        <w:trPr>
          <w:trHeight w:val="203"/>
        </w:trPr>
        <w:tc>
          <w:tcPr>
            <w:tcW w:w="3992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F6DD" w14:textId="77777777" w:rsidR="00126EE7" w:rsidRDefault="00126EE7" w:rsidP="001122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Asignaciones Globales</w:t>
            </w:r>
          </w:p>
        </w:tc>
        <w:tc>
          <w:tcPr>
            <w:tcW w:w="16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16422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10,885,402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04B6343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5,286,769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E55F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3,975,540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33C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EDB1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1,311,229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90F13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75%</w:t>
            </w:r>
          </w:p>
        </w:tc>
      </w:tr>
      <w:tr w:rsidR="00126EE7" w14:paraId="4B7D3C49" w14:textId="77777777" w:rsidTr="00126EE7">
        <w:trPr>
          <w:trHeight w:val="388"/>
        </w:trPr>
        <w:tc>
          <w:tcPr>
            <w:tcW w:w="399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31F0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de Inversión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FC49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2,614,038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6A1C3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2,557,038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890CD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2,277,515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7F5F1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6,998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306DA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279,523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AAD0A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89%</w:t>
            </w:r>
          </w:p>
        </w:tc>
      </w:tr>
      <w:tr w:rsidR="00126EE7" w14:paraId="3B990968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ACB1" w14:textId="77777777" w:rsidR="00126EE7" w:rsidRDefault="00126EE7" w:rsidP="001122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Servicios No Personales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3B28D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725,930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4D5CA87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725,930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67E5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474,326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A7A3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10430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251,604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A7576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65%</w:t>
            </w:r>
          </w:p>
        </w:tc>
      </w:tr>
      <w:tr w:rsidR="00126EE7" w14:paraId="3B5A42F9" w14:textId="77777777" w:rsidTr="00126EE7">
        <w:trPr>
          <w:trHeight w:val="203"/>
        </w:trPr>
        <w:tc>
          <w:tcPr>
            <w:tcW w:w="3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B6F1" w14:textId="77777777" w:rsidR="00126EE7" w:rsidRDefault="00126EE7" w:rsidP="001122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Maquinaria y equipo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9256D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299,625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EBD9365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242,625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90DD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214,707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3BD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6,998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A5A82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27,918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EF7EF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88%</w:t>
            </w:r>
          </w:p>
        </w:tc>
      </w:tr>
      <w:tr w:rsidR="00126EE7" w14:paraId="5408F1D5" w14:textId="77777777" w:rsidTr="00126EE7">
        <w:trPr>
          <w:trHeight w:val="203"/>
        </w:trPr>
        <w:tc>
          <w:tcPr>
            <w:tcW w:w="3992" w:type="dxa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1850" w14:textId="77777777" w:rsidR="00126EE7" w:rsidRDefault="00126EE7" w:rsidP="0011224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Construcciones por Contratos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95DF9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1,588,483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A76FA0A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1,588,483</w:t>
            </w: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30A4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1,588,482</w:t>
            </w:r>
          </w:p>
        </w:tc>
        <w:tc>
          <w:tcPr>
            <w:tcW w:w="159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54DE9B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B8E69" w14:textId="77777777" w:rsidR="00126EE7" w:rsidRPr="00086AE4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31AD3" w14:textId="77777777" w:rsidR="00126EE7" w:rsidRPr="00086AE4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86AE4">
              <w:rPr>
                <w:rFonts w:ascii="Calibri" w:hAnsi="Calibri"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126EE7" w14:paraId="33EE32C7" w14:textId="77777777" w:rsidTr="00126EE7">
        <w:trPr>
          <w:trHeight w:val="340"/>
        </w:trPr>
        <w:tc>
          <w:tcPr>
            <w:tcW w:w="3992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268D8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de Gastos</w:t>
            </w:r>
          </w:p>
        </w:tc>
        <w:tc>
          <w:tcPr>
            <w:tcW w:w="1651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ED18F7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66,262,868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E35DD2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30,040,992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333E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22,986,982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C07DA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375,703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62098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7,054,010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D3E5D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77%</w:t>
            </w:r>
          </w:p>
        </w:tc>
      </w:tr>
      <w:tr w:rsidR="00126EE7" w14:paraId="506A8D26" w14:textId="77777777" w:rsidTr="00126EE7">
        <w:trPr>
          <w:trHeight w:val="193"/>
        </w:trPr>
        <w:tc>
          <w:tcPr>
            <w:tcW w:w="8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ED096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Fuente: Dirección de Administración y Finanzas, Ministerio de Relaciones Exteriores.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4F198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52BA9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8CB43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14:paraId="22B5D368" w14:textId="77777777" w:rsidR="00126EE7" w:rsidRDefault="00126EE7" w:rsidP="00126EE7">
      <w:pPr>
        <w:spacing w:line="360" w:lineRule="auto"/>
        <w:ind w:right="-70"/>
        <w:jc w:val="both"/>
        <w:rPr>
          <w:rFonts w:ascii="Arial" w:eastAsia="Arial Unicode MS" w:hAnsi="Arial" w:cs="Arial"/>
          <w:b/>
          <w:bCs/>
          <w:color w:val="333333"/>
        </w:rPr>
      </w:pPr>
    </w:p>
    <w:p w14:paraId="347C0623" w14:textId="77777777" w:rsidR="00126EE7" w:rsidRPr="00371067" w:rsidRDefault="00126EE7" w:rsidP="00126EE7">
      <w:pPr>
        <w:spacing w:line="360" w:lineRule="auto"/>
        <w:jc w:val="both"/>
        <w:rPr>
          <w:rFonts w:ascii="Arial" w:eastAsia="Arial Unicode MS" w:hAnsi="Arial" w:cs="Arial"/>
          <w:b/>
          <w:bCs/>
          <w:color w:val="333333"/>
        </w:rPr>
      </w:pPr>
    </w:p>
    <w:p w14:paraId="15043FE3" w14:textId="77777777" w:rsidR="00126EE7" w:rsidRPr="00D92F58" w:rsidRDefault="00126EE7" w:rsidP="00126EE7">
      <w:pPr>
        <w:pStyle w:val="Prrafodelista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 Unicode MS" w:hAnsi="Arial" w:cs="Arial"/>
          <w:b/>
          <w:bCs/>
          <w:color w:val="333333"/>
        </w:rPr>
      </w:pPr>
      <w:r w:rsidRPr="00D92F58">
        <w:rPr>
          <w:rFonts w:ascii="Arial" w:eastAsia="Arial Unicode MS" w:hAnsi="Arial" w:cs="Arial"/>
          <w:b/>
          <w:bCs/>
          <w:color w:val="333333"/>
        </w:rPr>
        <w:t>BALANCE PRESUPUESTARIO</w:t>
      </w:r>
    </w:p>
    <w:p w14:paraId="5F13B2C4" w14:textId="77777777" w:rsidR="00126EE7" w:rsidRDefault="00126EE7" w:rsidP="00126EE7">
      <w:pPr>
        <w:spacing w:line="360" w:lineRule="auto"/>
        <w:jc w:val="both"/>
        <w:rPr>
          <w:rFonts w:ascii="Arial" w:hAnsi="Arial" w:cs="Arial"/>
        </w:rPr>
      </w:pPr>
      <w:r w:rsidRPr="00D92F58">
        <w:rPr>
          <w:rFonts w:ascii="Arial" w:hAnsi="Arial" w:cs="Arial"/>
        </w:rPr>
        <w:t xml:space="preserve">De los </w:t>
      </w:r>
      <w:r w:rsidRPr="00D92F58">
        <w:rPr>
          <w:rFonts w:ascii="Arial" w:hAnsi="Arial" w:cs="Arial"/>
          <w:b/>
        </w:rPr>
        <w:t>B/.</w:t>
      </w:r>
      <w:r>
        <w:rPr>
          <w:rFonts w:ascii="Arial" w:hAnsi="Arial" w:cs="Arial"/>
          <w:b/>
        </w:rPr>
        <w:t>22</w:t>
      </w:r>
      <w:proofErr w:type="gramStart"/>
      <w:r>
        <w:rPr>
          <w:rFonts w:ascii="Arial" w:hAnsi="Arial" w:cs="Arial"/>
          <w:b/>
        </w:rPr>
        <w:t>,986,982</w:t>
      </w:r>
      <w:proofErr w:type="gramEnd"/>
      <w:r w:rsidRPr="00D92F58">
        <w:rPr>
          <w:rFonts w:ascii="Arial" w:hAnsi="Arial" w:cs="Arial"/>
          <w:b/>
        </w:rPr>
        <w:t xml:space="preserve"> </w:t>
      </w:r>
      <w:r w:rsidRPr="00D92F58">
        <w:rPr>
          <w:rFonts w:ascii="Arial" w:hAnsi="Arial" w:cs="Arial"/>
        </w:rPr>
        <w:t xml:space="preserve">de ejecución total al cierre del mes en estudio, se efectuaron pagos por un monto de </w:t>
      </w:r>
      <w:r w:rsidRPr="00D92F58">
        <w:rPr>
          <w:rFonts w:ascii="Arial" w:hAnsi="Arial" w:cs="Arial"/>
          <w:b/>
        </w:rPr>
        <w:t>B/.</w:t>
      </w:r>
      <w:r>
        <w:rPr>
          <w:rFonts w:ascii="Arial" w:hAnsi="Arial" w:cs="Arial"/>
          <w:b/>
        </w:rPr>
        <w:t>6,608,552</w:t>
      </w:r>
      <w:r w:rsidRPr="00D92F58">
        <w:rPr>
          <w:rFonts w:ascii="Arial" w:hAnsi="Arial" w:cs="Arial"/>
          <w:b/>
        </w:rPr>
        <w:t xml:space="preserve"> </w:t>
      </w:r>
      <w:r w:rsidRPr="00D92F58">
        <w:rPr>
          <w:rFonts w:ascii="Arial" w:hAnsi="Arial" w:cs="Arial"/>
        </w:rPr>
        <w:t>(</w:t>
      </w:r>
      <w:r>
        <w:rPr>
          <w:rFonts w:ascii="Arial" w:hAnsi="Arial" w:cs="Arial"/>
        </w:rPr>
        <w:t>29</w:t>
      </w:r>
      <w:r w:rsidRPr="00D92F58">
        <w:rPr>
          <w:rFonts w:ascii="Arial" w:hAnsi="Arial" w:cs="Arial"/>
        </w:rPr>
        <w:t xml:space="preserve">%), quedando un saldo de </w:t>
      </w:r>
      <w:r>
        <w:rPr>
          <w:rFonts w:ascii="Arial" w:hAnsi="Arial" w:cs="Arial"/>
          <w:b/>
        </w:rPr>
        <w:t xml:space="preserve">B/.10,320,961 </w:t>
      </w:r>
      <w:r w:rsidRPr="00D92F58">
        <w:rPr>
          <w:rFonts w:ascii="Arial" w:hAnsi="Arial" w:cs="Arial"/>
        </w:rPr>
        <w:t>(</w:t>
      </w:r>
      <w:r>
        <w:rPr>
          <w:rFonts w:ascii="Arial" w:hAnsi="Arial" w:cs="Arial"/>
        </w:rPr>
        <w:t>13</w:t>
      </w:r>
      <w:r w:rsidRPr="00D92F58">
        <w:rPr>
          <w:rFonts w:ascii="Arial" w:hAnsi="Arial" w:cs="Arial"/>
        </w:rPr>
        <w:t>%).</w:t>
      </w:r>
    </w:p>
    <w:p w14:paraId="11BDF81A" w14:textId="77777777" w:rsidR="00126EE7" w:rsidRPr="00190AD2" w:rsidRDefault="00126EE7" w:rsidP="00126EE7">
      <w:pPr>
        <w:spacing w:line="360" w:lineRule="auto"/>
        <w:jc w:val="both"/>
        <w:rPr>
          <w:rFonts w:ascii="Arial" w:hAnsi="Arial" w:cs="Arial"/>
          <w:b/>
        </w:rPr>
      </w:pPr>
    </w:p>
    <w:p w14:paraId="3FE3AA54" w14:textId="77777777" w:rsidR="00126EE7" w:rsidRPr="00D92F58" w:rsidRDefault="00126EE7" w:rsidP="00126EE7">
      <w:pPr>
        <w:pStyle w:val="Prrafodelista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Arial Unicode MS" w:hAnsi="Arial" w:cs="Arial"/>
          <w:b/>
          <w:bCs/>
          <w:color w:val="333333"/>
        </w:rPr>
      </w:pPr>
      <w:r w:rsidRPr="00D92F58">
        <w:rPr>
          <w:rFonts w:ascii="Arial" w:eastAsia="Arial Unicode MS" w:hAnsi="Arial" w:cs="Arial"/>
          <w:b/>
          <w:bCs/>
          <w:color w:val="333333"/>
        </w:rPr>
        <w:t>PRESUPUESTO DE FUNCIONAMIENTO</w:t>
      </w:r>
    </w:p>
    <w:p w14:paraId="1C0A2ACA" w14:textId="77777777" w:rsidR="00126EE7" w:rsidRPr="00D92F58" w:rsidRDefault="00126EE7" w:rsidP="00126EE7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D92F58">
        <w:rPr>
          <w:rFonts w:ascii="Arial" w:hAnsi="Arial" w:cs="Arial"/>
        </w:rPr>
        <w:t>Las asignaciones en el Presupuesto de Funcionamiento permiten cubrir los gastos operativos previstos en materia de servicios personales, no personales, materiales y suministros, maquinaria y equipo; como también las transferencias corrientes. En su detalle se observan:</w:t>
      </w:r>
    </w:p>
    <w:p w14:paraId="4D184BCB" w14:textId="77777777" w:rsidR="00126EE7" w:rsidRPr="00D92F58" w:rsidRDefault="00126EE7" w:rsidP="00126EE7">
      <w:pPr>
        <w:pStyle w:val="Prrafodelista"/>
        <w:spacing w:line="360" w:lineRule="auto"/>
        <w:ind w:left="0"/>
        <w:jc w:val="both"/>
        <w:rPr>
          <w:rFonts w:ascii="Arial" w:eastAsia="Arial Unicode MS" w:hAnsi="Arial" w:cs="Arial"/>
          <w:bCs/>
          <w:color w:val="333333"/>
        </w:rPr>
      </w:pPr>
    </w:p>
    <w:p w14:paraId="38207E5E" w14:textId="77777777" w:rsidR="00126EE7" w:rsidRPr="00D92F58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  <w:lang w:val="es-PA"/>
        </w:rPr>
      </w:pPr>
      <w:r w:rsidRPr="00D92F58">
        <w:rPr>
          <w:rFonts w:ascii="Arial" w:eastAsia="Arial Unicode MS" w:hAnsi="Arial" w:cs="Arial"/>
          <w:b/>
          <w:bCs/>
          <w:color w:val="333333"/>
          <w:lang w:val="es-PA"/>
        </w:rPr>
        <w:t>Servicios Personales.</w:t>
      </w:r>
      <w:r w:rsidRPr="00D92F58">
        <w:rPr>
          <w:rFonts w:ascii="Arial" w:eastAsia="Arial Unicode MS" w:hAnsi="Arial" w:cs="Arial"/>
          <w:bCs/>
          <w:color w:val="333333"/>
          <w:lang w:val="es-PA"/>
        </w:rPr>
        <w:t xml:space="preserve">:   </w:t>
      </w:r>
    </w:p>
    <w:p w14:paraId="02550FBA" w14:textId="3BE36092" w:rsidR="00126EE7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  <w:lang w:val="es-PA"/>
        </w:rPr>
      </w:pPr>
      <w:r w:rsidRPr="00D92F58">
        <w:rPr>
          <w:rFonts w:ascii="Arial" w:hAnsi="Arial" w:cs="Arial"/>
        </w:rPr>
        <w:t>Corresponde a las acciones de administración del personal y sus rubros reflejan: Sueldos (Personal Fijo, Transitorio y Contingente), Gastos de Representación, Sobretiempo, Décimo Tercer Mes, Contribuciones a la Seguridad Social, entre otros.</w:t>
      </w:r>
    </w:p>
    <w:p w14:paraId="1CFCA213" w14:textId="77777777" w:rsidR="00126EE7" w:rsidRPr="00126EE7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  <w:lang w:val="es-PA"/>
        </w:rPr>
      </w:pPr>
    </w:p>
    <w:p w14:paraId="144901B4" w14:textId="77777777" w:rsidR="00126EE7" w:rsidRPr="00D92F58" w:rsidRDefault="00126EE7" w:rsidP="00126EE7">
      <w:pPr>
        <w:spacing w:line="360" w:lineRule="auto"/>
        <w:jc w:val="both"/>
        <w:rPr>
          <w:rFonts w:ascii="Arial" w:eastAsia="Arial Unicode MS" w:hAnsi="Arial" w:cs="Arial"/>
          <w:b/>
          <w:color w:val="404040" w:themeColor="text1" w:themeTint="BF"/>
          <w:lang w:val="es-PA"/>
        </w:rPr>
      </w:pPr>
      <w:r w:rsidRPr="00D92F58">
        <w:rPr>
          <w:rFonts w:ascii="Arial" w:eastAsia="Arial Unicode MS" w:hAnsi="Arial" w:cs="Arial"/>
          <w:color w:val="404040" w:themeColor="text1" w:themeTint="BF"/>
          <w:lang w:val="es-ES_tradnl"/>
        </w:rPr>
        <w:t xml:space="preserve">El Presupuesto </w:t>
      </w:r>
      <w:r w:rsidRPr="00D92F58">
        <w:rPr>
          <w:rFonts w:ascii="Arial" w:eastAsia="Arial Unicode MS" w:hAnsi="Arial" w:cs="Arial"/>
          <w:color w:val="333333"/>
          <w:lang w:val="es-PA"/>
        </w:rPr>
        <w:t xml:space="preserve">Asignado es de </w:t>
      </w:r>
      <w:r w:rsidRPr="00D92F58">
        <w:rPr>
          <w:rFonts w:ascii="Arial" w:eastAsia="Arial Unicode MS" w:hAnsi="Arial" w:cs="Arial"/>
          <w:b/>
          <w:color w:val="333333"/>
          <w:lang w:val="es-PA"/>
        </w:rPr>
        <w:t>B/.</w:t>
      </w:r>
      <w:r>
        <w:rPr>
          <w:rFonts w:ascii="Arial" w:eastAsia="Arial Unicode MS" w:hAnsi="Arial" w:cs="Arial"/>
          <w:b/>
          <w:color w:val="333333"/>
          <w:lang w:val="es-PA"/>
        </w:rPr>
        <w:t>7</w:t>
      </w:r>
      <w:proofErr w:type="gramStart"/>
      <w:r>
        <w:rPr>
          <w:rFonts w:ascii="Arial" w:eastAsia="Arial Unicode MS" w:hAnsi="Arial" w:cs="Arial"/>
          <w:b/>
          <w:color w:val="333333"/>
          <w:lang w:val="es-PA"/>
        </w:rPr>
        <w:t>,088,641</w:t>
      </w:r>
      <w:proofErr w:type="gramEnd"/>
      <w:r w:rsidRPr="00D92F58">
        <w:rPr>
          <w:rFonts w:ascii="Arial" w:eastAsia="Arial Unicode MS" w:hAnsi="Arial" w:cs="Arial"/>
          <w:b/>
          <w:color w:val="333333"/>
          <w:lang w:val="es-PA"/>
        </w:rPr>
        <w:t xml:space="preserve">, </w:t>
      </w:r>
      <w:r w:rsidRPr="00D92F58">
        <w:rPr>
          <w:rFonts w:ascii="Arial" w:eastAsia="Arial Unicode MS" w:hAnsi="Arial" w:cs="Arial"/>
          <w:color w:val="333333"/>
          <w:lang w:val="es-PA"/>
        </w:rPr>
        <w:t xml:space="preserve">con una ejecución de </w:t>
      </w:r>
      <w:r w:rsidRPr="00D92F58">
        <w:rPr>
          <w:rFonts w:ascii="Arial" w:eastAsia="Arial Unicode MS" w:hAnsi="Arial" w:cs="Arial"/>
          <w:b/>
          <w:color w:val="333333"/>
          <w:lang w:val="es-PA"/>
        </w:rPr>
        <w:t>B/.</w:t>
      </w:r>
      <w:r>
        <w:rPr>
          <w:rFonts w:ascii="Arial" w:eastAsia="Arial Unicode MS" w:hAnsi="Arial" w:cs="Arial"/>
          <w:b/>
          <w:color w:val="333333"/>
          <w:lang w:val="es-PA"/>
        </w:rPr>
        <w:t xml:space="preserve">4,305,129 </w:t>
      </w:r>
      <w:r w:rsidRPr="00D92F58">
        <w:rPr>
          <w:rFonts w:ascii="Arial" w:eastAsia="Arial Unicode MS" w:hAnsi="Arial" w:cs="Arial"/>
          <w:color w:val="333333"/>
          <w:lang w:val="es-PA"/>
        </w:rPr>
        <w:t xml:space="preserve">reflejando un </w:t>
      </w:r>
      <w:r w:rsidRPr="00D92F58">
        <w:rPr>
          <w:rFonts w:ascii="Arial" w:hAnsi="Arial" w:cs="Arial"/>
        </w:rPr>
        <w:t>(</w:t>
      </w:r>
      <w:r>
        <w:rPr>
          <w:rFonts w:ascii="Arial" w:hAnsi="Arial" w:cs="Arial"/>
        </w:rPr>
        <w:t>61</w:t>
      </w:r>
      <w:r w:rsidRPr="00D92F58">
        <w:rPr>
          <w:rFonts w:ascii="Arial" w:eastAsia="Arial Unicode MS" w:hAnsi="Arial" w:cs="Arial"/>
          <w:color w:val="333333"/>
          <w:lang w:val="es-PA"/>
        </w:rPr>
        <w:t>%</w:t>
      </w:r>
      <w:r w:rsidRPr="00D92F58">
        <w:rPr>
          <w:rFonts w:ascii="Arial" w:hAnsi="Arial" w:cs="Arial"/>
        </w:rPr>
        <w:t>)</w:t>
      </w:r>
      <w:r w:rsidRPr="00D92F58">
        <w:rPr>
          <w:rFonts w:ascii="Arial" w:eastAsia="Arial Unicode MS" w:hAnsi="Arial" w:cs="Arial"/>
          <w:color w:val="333333"/>
          <w:lang w:val="es-PA"/>
        </w:rPr>
        <w:t xml:space="preserve"> de avance.    </w:t>
      </w:r>
    </w:p>
    <w:p w14:paraId="4FD31389" w14:textId="77777777" w:rsidR="00126EE7" w:rsidRDefault="00126EE7" w:rsidP="00126EE7">
      <w:pPr>
        <w:spacing w:line="360" w:lineRule="auto"/>
        <w:jc w:val="both"/>
        <w:rPr>
          <w:rFonts w:ascii="Arial" w:eastAsia="Arial Unicode MS" w:hAnsi="Arial" w:cs="Arial"/>
          <w:b/>
          <w:color w:val="333333"/>
          <w:lang w:val="es-PA"/>
        </w:rPr>
      </w:pPr>
    </w:p>
    <w:p w14:paraId="22E26EFF" w14:textId="77777777" w:rsidR="00126EE7" w:rsidRDefault="00126EE7" w:rsidP="00126EE7">
      <w:pPr>
        <w:spacing w:line="360" w:lineRule="auto"/>
        <w:jc w:val="both"/>
        <w:rPr>
          <w:rFonts w:ascii="Arial" w:eastAsia="Arial Unicode MS" w:hAnsi="Arial" w:cs="Arial"/>
          <w:b/>
          <w:color w:val="333333"/>
          <w:lang w:val="es-PA"/>
        </w:rPr>
      </w:pPr>
    </w:p>
    <w:p w14:paraId="63C8FA09" w14:textId="77777777" w:rsidR="00126EE7" w:rsidRPr="00D92F58" w:rsidRDefault="00126EE7" w:rsidP="00126EE7">
      <w:pPr>
        <w:spacing w:line="360" w:lineRule="auto"/>
        <w:jc w:val="both"/>
        <w:rPr>
          <w:rFonts w:ascii="Arial" w:eastAsia="Arial Unicode MS" w:hAnsi="Arial" w:cs="Arial"/>
          <w:b/>
          <w:color w:val="333333"/>
          <w:lang w:val="es-PA"/>
        </w:rPr>
      </w:pPr>
    </w:p>
    <w:p w14:paraId="6FA141A3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  <w:r w:rsidRPr="00D92F58">
        <w:rPr>
          <w:rFonts w:eastAsia="Arial Unicode MS"/>
          <w:b/>
          <w:bCs/>
          <w:color w:val="333333"/>
          <w:lang w:eastAsia="es-ES"/>
        </w:rPr>
        <w:lastRenderedPageBreak/>
        <w:t>Servicios No Personales</w:t>
      </w:r>
      <w:r w:rsidRPr="00D92F58">
        <w:rPr>
          <w:rFonts w:eastAsia="Arial Unicode MS"/>
          <w:bCs/>
          <w:color w:val="333333"/>
          <w:lang w:eastAsia="es-ES"/>
        </w:rPr>
        <w:t xml:space="preserve">:  </w:t>
      </w:r>
    </w:p>
    <w:p w14:paraId="36E1439A" w14:textId="2FD9DA0F" w:rsidR="00126EE7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</w:rPr>
      </w:pPr>
      <w:r w:rsidRPr="00D92F58">
        <w:rPr>
          <w:rFonts w:ascii="Arial" w:eastAsia="Arial Unicode MS" w:hAnsi="Arial" w:cs="Arial"/>
          <w:bCs/>
          <w:color w:val="333333"/>
        </w:rPr>
        <w:t xml:space="preserve">En este grupo se contemplan los gastos en concepto de los alquileres </w:t>
      </w:r>
      <w:r w:rsidRPr="00D92F58">
        <w:rPr>
          <w:rFonts w:ascii="Arial" w:hAnsi="Arial" w:cs="Arial"/>
        </w:rPr>
        <w:t>de bienes muebles e inmuebles</w:t>
      </w:r>
      <w:r w:rsidRPr="00D92F58">
        <w:rPr>
          <w:rFonts w:ascii="Arial" w:eastAsia="Arial Unicode MS" w:hAnsi="Arial" w:cs="Arial"/>
          <w:bCs/>
          <w:color w:val="333333"/>
        </w:rPr>
        <w:t xml:space="preserve"> y de Servicio Exterior (Embajadas), servicios básicos </w:t>
      </w:r>
      <w:r w:rsidRPr="00D92F58">
        <w:rPr>
          <w:rFonts w:ascii="Arial" w:hAnsi="Arial" w:cs="Arial"/>
        </w:rPr>
        <w:t>(luz, agua, correo, telecomunicaciones),</w:t>
      </w:r>
      <w:r w:rsidRPr="00D92F58">
        <w:rPr>
          <w:rFonts w:ascii="Arial" w:eastAsia="Arial Unicode MS" w:hAnsi="Arial" w:cs="Arial"/>
          <w:bCs/>
          <w:color w:val="333333"/>
        </w:rPr>
        <w:t xml:space="preserve"> Viáticos Contingentes del Servicio Exterior, y Transporte de o para el Exterior (pasajes, menaje e incidentales) contratos por el servicio de mantenimiento y reparación de edificios.</w:t>
      </w:r>
    </w:p>
    <w:p w14:paraId="538F4F55" w14:textId="77777777" w:rsidR="00126EE7" w:rsidRPr="00D92F58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</w:rPr>
      </w:pPr>
    </w:p>
    <w:p w14:paraId="038E2128" w14:textId="38B54CBE" w:rsidR="00126EE7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</w:rPr>
      </w:pPr>
      <w:r w:rsidRPr="00D92F58">
        <w:rPr>
          <w:rFonts w:ascii="Arial" w:eastAsia="Arial Unicode MS" w:hAnsi="Arial" w:cs="Arial"/>
          <w:bCs/>
          <w:color w:val="333333"/>
        </w:rPr>
        <w:t xml:space="preserve">En este grupo dispone de un Asignado de </w:t>
      </w:r>
      <w:r w:rsidRPr="00D92F58">
        <w:rPr>
          <w:rFonts w:ascii="Arial" w:eastAsia="Arial Unicode MS" w:hAnsi="Arial" w:cs="Arial"/>
          <w:b/>
          <w:bCs/>
          <w:color w:val="333333"/>
        </w:rPr>
        <w:t>B/.</w:t>
      </w:r>
      <w:r>
        <w:rPr>
          <w:rFonts w:ascii="Arial" w:eastAsia="Arial Unicode MS" w:hAnsi="Arial" w:cs="Arial"/>
          <w:b/>
          <w:bCs/>
          <w:color w:val="333333"/>
        </w:rPr>
        <w:t>12</w:t>
      </w:r>
      <w:proofErr w:type="gramStart"/>
      <w:r>
        <w:rPr>
          <w:rFonts w:ascii="Arial" w:eastAsia="Arial Unicode MS" w:hAnsi="Arial" w:cs="Arial"/>
          <w:b/>
          <w:bCs/>
          <w:color w:val="333333"/>
        </w:rPr>
        <w:t>,374,919</w:t>
      </w:r>
      <w:proofErr w:type="gramEnd"/>
      <w:r w:rsidRPr="00D92F58">
        <w:rPr>
          <w:rFonts w:ascii="Arial" w:eastAsia="Arial Unicode MS" w:hAnsi="Arial" w:cs="Arial"/>
          <w:b/>
          <w:bCs/>
          <w:color w:val="333333"/>
          <w:lang w:val="es-PA"/>
        </w:rPr>
        <w:t xml:space="preserve"> </w:t>
      </w:r>
      <w:r w:rsidRPr="00D92F58">
        <w:rPr>
          <w:rFonts w:ascii="Arial" w:eastAsia="Arial Unicode MS" w:hAnsi="Arial" w:cs="Arial"/>
          <w:bCs/>
          <w:color w:val="333333"/>
        </w:rPr>
        <w:t xml:space="preserve">y ejecución por </w:t>
      </w:r>
      <w:r w:rsidRPr="00D92F58">
        <w:rPr>
          <w:rFonts w:ascii="Arial" w:eastAsia="Arial Unicode MS" w:hAnsi="Arial" w:cs="Arial"/>
          <w:b/>
          <w:bCs/>
          <w:color w:val="333333"/>
        </w:rPr>
        <w:t>B/.</w:t>
      </w:r>
      <w:r>
        <w:rPr>
          <w:rFonts w:ascii="Arial" w:eastAsia="Arial Unicode MS" w:hAnsi="Arial" w:cs="Arial"/>
          <w:b/>
          <w:bCs/>
          <w:color w:val="333333"/>
        </w:rPr>
        <w:t>11,063,144</w:t>
      </w:r>
      <w:r w:rsidRPr="00D92F58">
        <w:rPr>
          <w:rFonts w:ascii="Arial" w:eastAsia="Arial Unicode MS" w:hAnsi="Arial" w:cs="Arial"/>
          <w:b/>
          <w:bCs/>
          <w:color w:val="333333"/>
        </w:rPr>
        <w:t xml:space="preserve"> </w:t>
      </w:r>
      <w:r w:rsidRPr="00D92F58">
        <w:rPr>
          <w:rFonts w:ascii="Arial" w:eastAsia="Arial Unicode MS" w:hAnsi="Arial" w:cs="Arial"/>
          <w:bCs/>
          <w:color w:val="333333"/>
        </w:rPr>
        <w:t xml:space="preserve">reflejando el </w:t>
      </w:r>
      <w:r w:rsidRPr="00D92F58">
        <w:rPr>
          <w:rFonts w:ascii="Arial" w:hAnsi="Arial" w:cs="Arial"/>
        </w:rPr>
        <w:t>(8</w:t>
      </w:r>
      <w:r>
        <w:rPr>
          <w:rFonts w:ascii="Arial" w:hAnsi="Arial" w:cs="Arial"/>
        </w:rPr>
        <w:t>9</w:t>
      </w:r>
      <w:r w:rsidRPr="00D92F58">
        <w:rPr>
          <w:rFonts w:ascii="Arial" w:eastAsia="Arial Unicode MS" w:hAnsi="Arial" w:cs="Arial"/>
          <w:bCs/>
          <w:color w:val="333333"/>
        </w:rPr>
        <w:t>%</w:t>
      </w:r>
      <w:r w:rsidRPr="00D92F58">
        <w:rPr>
          <w:rFonts w:ascii="Arial" w:hAnsi="Arial" w:cs="Arial"/>
        </w:rPr>
        <w:t>)</w:t>
      </w:r>
      <w:r w:rsidRPr="00D92F58">
        <w:rPr>
          <w:rFonts w:ascii="Arial" w:eastAsia="Arial Unicode MS" w:hAnsi="Arial" w:cs="Arial"/>
          <w:bCs/>
          <w:color w:val="333333"/>
        </w:rPr>
        <w:t xml:space="preserve"> de avance.</w:t>
      </w:r>
    </w:p>
    <w:p w14:paraId="1E4DF5C2" w14:textId="77777777" w:rsidR="00126EE7" w:rsidRPr="00126EE7" w:rsidRDefault="00126EE7" w:rsidP="00126EE7">
      <w:pPr>
        <w:spacing w:line="360" w:lineRule="auto"/>
        <w:jc w:val="both"/>
        <w:rPr>
          <w:rFonts w:ascii="Arial" w:eastAsia="Arial Unicode MS" w:hAnsi="Arial" w:cs="Arial"/>
          <w:bCs/>
          <w:color w:val="333333"/>
        </w:rPr>
      </w:pPr>
    </w:p>
    <w:p w14:paraId="7E9AA3C4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  <w:r w:rsidRPr="00D92F58">
        <w:rPr>
          <w:rFonts w:eastAsia="Arial Unicode MS"/>
          <w:b/>
          <w:bCs/>
          <w:color w:val="333333"/>
          <w:lang w:eastAsia="es-ES"/>
        </w:rPr>
        <w:t>Materiales y Suministros</w:t>
      </w:r>
      <w:r w:rsidRPr="00D92F58">
        <w:rPr>
          <w:rFonts w:eastAsia="Arial Unicode MS"/>
          <w:bCs/>
          <w:color w:val="333333"/>
          <w:lang w:eastAsia="es-ES"/>
        </w:rPr>
        <w:t xml:space="preserve">:   </w:t>
      </w:r>
    </w:p>
    <w:p w14:paraId="0D8984CD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  <w:r w:rsidRPr="00D92F58">
        <w:rPr>
          <w:rFonts w:eastAsia="Arial Unicode MS"/>
          <w:bCs/>
          <w:color w:val="333333"/>
          <w:lang w:eastAsia="es-ES"/>
        </w:rPr>
        <w:t>Son asignaciones destinadas a la adquisición de Artículos,  Materiales y Bienes en General, necesarias en el cumplimiento tanto de las metas y objetivos de los Programas Presupuestarios, como de las operaciones propias de la institución entre las cuales mencionamos: Gastos de Alimentos para Consumo Humano, Bebidas, Prendas de Vestir, Gastos de Combustible,  Artículos o Productos Varios, Útiles de Oficina, Repuestos.</w:t>
      </w:r>
    </w:p>
    <w:p w14:paraId="6FB863D8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</w:p>
    <w:p w14:paraId="0FDB383A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color w:val="333333"/>
        </w:rPr>
      </w:pPr>
      <w:r w:rsidRPr="00D92F58">
        <w:t xml:space="preserve">Presenta una asignación de </w:t>
      </w:r>
      <w:r w:rsidRPr="00D92F58">
        <w:rPr>
          <w:rFonts w:eastAsia="Arial Unicode MS"/>
          <w:b/>
          <w:color w:val="333333"/>
        </w:rPr>
        <w:t>B/.</w:t>
      </w:r>
      <w:r>
        <w:rPr>
          <w:rFonts w:eastAsia="Arial Unicode MS"/>
          <w:b/>
          <w:color w:val="333333"/>
        </w:rPr>
        <w:t>395</w:t>
      </w:r>
      <w:proofErr w:type="gramStart"/>
      <w:r>
        <w:rPr>
          <w:rFonts w:eastAsia="Arial Unicode MS"/>
          <w:b/>
          <w:color w:val="333333"/>
        </w:rPr>
        <w:t>,522</w:t>
      </w:r>
      <w:proofErr w:type="gramEnd"/>
      <w:r w:rsidRPr="00D92F58">
        <w:rPr>
          <w:rFonts w:eastAsia="Arial Unicode MS"/>
          <w:b/>
          <w:color w:val="333333"/>
        </w:rPr>
        <w:t xml:space="preserve"> </w:t>
      </w:r>
      <w:r w:rsidRPr="00D92F58">
        <w:rPr>
          <w:rFonts w:eastAsia="Arial Unicode MS"/>
          <w:color w:val="333333"/>
        </w:rPr>
        <w:t>y ejecución por B</w:t>
      </w:r>
      <w:r>
        <w:rPr>
          <w:rFonts w:eastAsia="Arial Unicode MS"/>
          <w:b/>
          <w:color w:val="333333"/>
        </w:rPr>
        <w:t>/.179,998</w:t>
      </w:r>
      <w:r w:rsidRPr="00D92F58">
        <w:rPr>
          <w:rFonts w:eastAsia="Arial Unicode MS"/>
          <w:b/>
          <w:color w:val="333333"/>
        </w:rPr>
        <w:t xml:space="preserve"> </w:t>
      </w:r>
      <w:r w:rsidRPr="00D92F58">
        <w:t>reflejando un avance d</w:t>
      </w:r>
      <w:r w:rsidRPr="00D92F58">
        <w:rPr>
          <w:rFonts w:eastAsia="Arial Unicode MS"/>
          <w:color w:val="333333"/>
        </w:rPr>
        <w:t xml:space="preserve">el </w:t>
      </w:r>
      <w:r w:rsidRPr="00D92F58">
        <w:t>(</w:t>
      </w:r>
      <w:r>
        <w:rPr>
          <w:rFonts w:eastAsia="Arial Unicode MS"/>
          <w:color w:val="333333"/>
        </w:rPr>
        <w:t>46</w:t>
      </w:r>
      <w:r w:rsidRPr="00D92F58">
        <w:rPr>
          <w:rFonts w:eastAsia="Arial Unicode MS"/>
          <w:color w:val="333333"/>
        </w:rPr>
        <w:t>%</w:t>
      </w:r>
      <w:r w:rsidRPr="00D92F58">
        <w:t>).</w:t>
      </w:r>
      <w:r w:rsidRPr="00D92F58">
        <w:rPr>
          <w:rFonts w:eastAsia="Arial Unicode MS"/>
          <w:color w:val="333333"/>
        </w:rPr>
        <w:t xml:space="preserve"> </w:t>
      </w:r>
    </w:p>
    <w:p w14:paraId="6808CC21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color w:val="404040" w:themeColor="text1" w:themeTint="BF"/>
        </w:rPr>
      </w:pPr>
    </w:p>
    <w:p w14:paraId="348BFDA2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  <w:r w:rsidRPr="00D92F58">
        <w:rPr>
          <w:rFonts w:eastAsia="Arial Unicode MS"/>
          <w:b/>
          <w:bCs/>
          <w:color w:val="333333"/>
          <w:lang w:eastAsia="es-ES"/>
        </w:rPr>
        <w:t>Transferencias Corrientes</w:t>
      </w:r>
      <w:r w:rsidRPr="00D92F58">
        <w:rPr>
          <w:rFonts w:eastAsia="Arial Unicode MS"/>
          <w:bCs/>
          <w:color w:val="333333"/>
          <w:lang w:eastAsia="es-ES"/>
        </w:rPr>
        <w:t xml:space="preserve">: </w:t>
      </w:r>
    </w:p>
    <w:p w14:paraId="798DFC0D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  <w:r w:rsidRPr="00D92F58">
        <w:rPr>
          <w:rFonts w:eastAsia="Arial Unicode MS"/>
          <w:bCs/>
          <w:color w:val="333333"/>
          <w:lang w:eastAsia="es-ES"/>
        </w:rPr>
        <w:t xml:space="preserve">Comprenden los pagos de las cuotas a Organismos Interamericanos y Mundiales (OEA, (UNODC, ONU-MUJER, OIEA, PNUD, SICA, AEC, CIDES, OEA, PROYECTO MESOAMERICA y ONU), bonificación por antigüedad, donativos a personas, entre otros. </w:t>
      </w:r>
    </w:p>
    <w:p w14:paraId="570B7482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</w:p>
    <w:p w14:paraId="6D818DBE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  <w:r w:rsidRPr="00D92F58">
        <w:rPr>
          <w:rFonts w:eastAsia="Arial Unicode MS"/>
          <w:bCs/>
          <w:color w:val="333333"/>
          <w:lang w:eastAsia="es-ES"/>
        </w:rPr>
        <w:t>Cuenta con un Presupuesto</w:t>
      </w:r>
      <w:r w:rsidRPr="00D92F58">
        <w:rPr>
          <w:rFonts w:eastAsia="Arial Unicode MS"/>
          <w:color w:val="333333"/>
        </w:rPr>
        <w:t xml:space="preserve"> Asignado de </w:t>
      </w:r>
      <w:r w:rsidRPr="00D92F58">
        <w:rPr>
          <w:rFonts w:eastAsia="Arial Unicode MS"/>
          <w:b/>
          <w:color w:val="333333"/>
        </w:rPr>
        <w:t>B/.</w:t>
      </w:r>
      <w:r>
        <w:rPr>
          <w:rFonts w:eastAsia="Arial Unicode MS"/>
          <w:b/>
          <w:color w:val="333333"/>
        </w:rPr>
        <w:t>2</w:t>
      </w:r>
      <w:proofErr w:type="gramStart"/>
      <w:r>
        <w:rPr>
          <w:rFonts w:eastAsia="Arial Unicode MS"/>
          <w:b/>
          <w:color w:val="333333"/>
        </w:rPr>
        <w:t>,338,103</w:t>
      </w:r>
      <w:proofErr w:type="gramEnd"/>
      <w:r w:rsidRPr="00D92F58">
        <w:rPr>
          <w:rFonts w:eastAsia="Arial Unicode MS"/>
          <w:b/>
          <w:color w:val="333333"/>
        </w:rPr>
        <w:t xml:space="preserve"> </w:t>
      </w:r>
      <w:r w:rsidRPr="00D92F58">
        <w:rPr>
          <w:rFonts w:eastAsia="Arial Unicode MS"/>
          <w:color w:val="333333"/>
        </w:rPr>
        <w:t xml:space="preserve">y ejecutado de </w:t>
      </w:r>
      <w:r w:rsidRPr="00D92F58">
        <w:rPr>
          <w:rFonts w:eastAsia="Arial Unicode MS"/>
          <w:b/>
          <w:color w:val="333333"/>
        </w:rPr>
        <w:t>B/.</w:t>
      </w:r>
      <w:r>
        <w:rPr>
          <w:rFonts w:eastAsia="Arial Unicode MS"/>
          <w:b/>
          <w:color w:val="333333"/>
        </w:rPr>
        <w:t>1,185,655</w:t>
      </w:r>
      <w:r w:rsidRPr="00D92F58">
        <w:rPr>
          <w:rFonts w:eastAsia="Arial Unicode MS"/>
          <w:b/>
          <w:color w:val="333333"/>
        </w:rPr>
        <w:t xml:space="preserve"> </w:t>
      </w:r>
      <w:r w:rsidRPr="00D92F58">
        <w:rPr>
          <w:rFonts w:eastAsia="Arial Unicode MS"/>
          <w:color w:val="333333"/>
        </w:rPr>
        <w:t xml:space="preserve">reflejando un </w:t>
      </w:r>
      <w:r w:rsidRPr="00D92F58">
        <w:t>(</w:t>
      </w:r>
      <w:r>
        <w:t>51</w:t>
      </w:r>
      <w:r w:rsidRPr="00D92F58">
        <w:t>%)</w:t>
      </w:r>
      <w:r w:rsidRPr="00D92F58">
        <w:rPr>
          <w:rFonts w:eastAsia="Arial Unicode MS"/>
          <w:color w:val="333333"/>
        </w:rPr>
        <w:t xml:space="preserve"> de avance. </w:t>
      </w:r>
    </w:p>
    <w:p w14:paraId="1E27AF28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bCs/>
          <w:color w:val="333333"/>
          <w:lang w:eastAsia="es-ES"/>
        </w:rPr>
      </w:pPr>
    </w:p>
    <w:p w14:paraId="73775231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  <w:r w:rsidRPr="00D92F58">
        <w:rPr>
          <w:rFonts w:eastAsia="Arial Unicode MS"/>
          <w:b/>
          <w:bCs/>
          <w:color w:val="333333"/>
          <w:lang w:eastAsia="es-ES"/>
        </w:rPr>
        <w:t>Asignaciones Globales</w:t>
      </w:r>
      <w:r w:rsidRPr="00D92F58">
        <w:rPr>
          <w:rFonts w:eastAsia="Arial Unicode MS"/>
          <w:bCs/>
          <w:color w:val="333333"/>
          <w:lang w:eastAsia="es-ES"/>
        </w:rPr>
        <w:t xml:space="preserve">: </w:t>
      </w:r>
    </w:p>
    <w:p w14:paraId="439918A3" w14:textId="77777777" w:rsidR="00126EE7" w:rsidRPr="00D92F58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Cs/>
          <w:color w:val="333333"/>
          <w:lang w:eastAsia="es-ES"/>
        </w:rPr>
      </w:pPr>
      <w:r w:rsidRPr="00D92F58">
        <w:rPr>
          <w:rFonts w:eastAsia="Arial Unicode MS"/>
          <w:bCs/>
          <w:color w:val="333333"/>
          <w:lang w:eastAsia="es-ES"/>
        </w:rPr>
        <w:t xml:space="preserve">Comprenden los Gastos de Funcionamiento del Servicio Exterior de 51 embajadas. </w:t>
      </w:r>
    </w:p>
    <w:p w14:paraId="63530259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  <w:r w:rsidRPr="00D92F58">
        <w:rPr>
          <w:rFonts w:eastAsia="Arial Unicode MS"/>
          <w:bCs/>
          <w:color w:val="333333"/>
          <w:lang w:eastAsia="es-ES"/>
        </w:rPr>
        <w:t>Cuenta con un Presupuesto</w:t>
      </w:r>
      <w:r w:rsidRPr="00D92F58">
        <w:rPr>
          <w:rFonts w:eastAsia="Arial Unicode MS"/>
          <w:color w:val="333333"/>
        </w:rPr>
        <w:t xml:space="preserve"> Asignado de </w:t>
      </w:r>
      <w:r w:rsidRPr="00D92F58">
        <w:rPr>
          <w:rFonts w:eastAsia="Arial Unicode MS"/>
          <w:b/>
          <w:color w:val="333333"/>
        </w:rPr>
        <w:t>B/.</w:t>
      </w:r>
      <w:r>
        <w:rPr>
          <w:rFonts w:eastAsia="Arial Unicode MS"/>
          <w:b/>
          <w:color w:val="333333"/>
        </w:rPr>
        <w:t>5</w:t>
      </w:r>
      <w:proofErr w:type="gramStart"/>
      <w:r>
        <w:rPr>
          <w:rFonts w:eastAsia="Arial Unicode MS"/>
          <w:b/>
          <w:color w:val="333333"/>
        </w:rPr>
        <w:t>,286,769</w:t>
      </w:r>
      <w:proofErr w:type="gramEnd"/>
      <w:r w:rsidRPr="00D92F58">
        <w:rPr>
          <w:rFonts w:eastAsia="Arial Unicode MS"/>
          <w:b/>
          <w:color w:val="333333"/>
        </w:rPr>
        <w:t xml:space="preserve"> </w:t>
      </w:r>
      <w:r w:rsidRPr="00D92F58">
        <w:rPr>
          <w:rFonts w:eastAsia="Arial Unicode MS"/>
          <w:color w:val="333333"/>
        </w:rPr>
        <w:t xml:space="preserve">y una ejecución presupuestaria de </w:t>
      </w:r>
      <w:r w:rsidRPr="00D92F58">
        <w:rPr>
          <w:rFonts w:eastAsia="Arial Unicode MS"/>
          <w:b/>
          <w:color w:val="333333"/>
        </w:rPr>
        <w:t>B/.</w:t>
      </w:r>
      <w:r>
        <w:rPr>
          <w:rFonts w:eastAsia="Arial Unicode MS"/>
          <w:b/>
          <w:color w:val="333333"/>
        </w:rPr>
        <w:t>3,975,540</w:t>
      </w:r>
      <w:r w:rsidRPr="00D92F58">
        <w:rPr>
          <w:rFonts w:eastAsia="Arial Unicode MS"/>
          <w:b/>
          <w:color w:val="333333"/>
        </w:rPr>
        <w:t xml:space="preserve"> </w:t>
      </w:r>
      <w:r w:rsidRPr="00D92F58">
        <w:rPr>
          <w:rFonts w:eastAsia="Arial Unicode MS"/>
          <w:color w:val="333333"/>
        </w:rPr>
        <w:t xml:space="preserve">reflejando un </w:t>
      </w:r>
      <w:r w:rsidRPr="00D92F58">
        <w:t>(</w:t>
      </w:r>
      <w:r>
        <w:t>75</w:t>
      </w:r>
      <w:r w:rsidRPr="00D92F58">
        <w:t>%)</w:t>
      </w:r>
      <w:r w:rsidRPr="00D92F58">
        <w:rPr>
          <w:rFonts w:eastAsia="Arial Unicode MS"/>
          <w:color w:val="333333"/>
        </w:rPr>
        <w:t xml:space="preserve"> de avance</w:t>
      </w:r>
      <w:r w:rsidRPr="00D92F58">
        <w:rPr>
          <w:rFonts w:eastAsia="Arial Unicode MS"/>
          <w:b/>
          <w:color w:val="333333"/>
        </w:rPr>
        <w:t>.</w:t>
      </w:r>
    </w:p>
    <w:p w14:paraId="028E0812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1DD8580F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0FB6EFCD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781A465D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230A5526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5E7153EA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3CAD324B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5B6F2B81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52E4DFE9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5C960065" w14:textId="77777777" w:rsidR="00E04363" w:rsidRDefault="00E04363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316EC4A3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tbl>
      <w:tblPr>
        <w:tblW w:w="13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640"/>
        <w:gridCol w:w="1236"/>
        <w:gridCol w:w="1619"/>
        <w:gridCol w:w="1649"/>
        <w:gridCol w:w="1450"/>
        <w:gridCol w:w="1737"/>
      </w:tblGrid>
      <w:tr w:rsidR="00126EE7" w14:paraId="52260163" w14:textId="77777777" w:rsidTr="00126EE7">
        <w:trPr>
          <w:trHeight w:val="178"/>
        </w:trPr>
        <w:tc>
          <w:tcPr>
            <w:tcW w:w="13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76A3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PA" w:eastAsia="es-PA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Cuadro Núm. 2 EJECUCIÓN PRESUPUESTARIA POR OBJETO DE GASTO</w:t>
            </w:r>
          </w:p>
        </w:tc>
      </w:tr>
      <w:tr w:rsidR="00126EE7" w14:paraId="5FA8225F" w14:textId="77777777" w:rsidTr="00126EE7">
        <w:trPr>
          <w:trHeight w:val="178"/>
        </w:trPr>
        <w:tc>
          <w:tcPr>
            <w:tcW w:w="13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1952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 30 ABRIL DE 2019</w:t>
            </w:r>
          </w:p>
        </w:tc>
      </w:tr>
      <w:tr w:rsidR="00126EE7" w14:paraId="182606C3" w14:textId="77777777" w:rsidTr="00126EE7">
        <w:trPr>
          <w:trHeight w:val="187"/>
        </w:trPr>
        <w:tc>
          <w:tcPr>
            <w:tcW w:w="13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9092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(en Balboas)</w:t>
            </w:r>
          </w:p>
        </w:tc>
      </w:tr>
      <w:tr w:rsidR="00126EE7" w14:paraId="6B8C5A17" w14:textId="77777777" w:rsidTr="00126EE7">
        <w:trPr>
          <w:trHeight w:val="348"/>
        </w:trPr>
        <w:tc>
          <w:tcPr>
            <w:tcW w:w="3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E1287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DETALLE</w:t>
            </w: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9748C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PRESUPUESTO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FED7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EJECUCIÓN ACUMULADA A LA FECHA 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7219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CONTRATOS POR EJECUTAR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E374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SALDO A LA FECHA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9FB8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VARIACIÓN PORCENTUAL EJECUTADO VS ASIGNADO</w:t>
            </w:r>
          </w:p>
        </w:tc>
      </w:tr>
      <w:tr w:rsidR="00126EE7" w14:paraId="34B22E7D" w14:textId="77777777" w:rsidTr="00126EE7">
        <w:trPr>
          <w:trHeight w:val="187"/>
        </w:trPr>
        <w:tc>
          <w:tcPr>
            <w:tcW w:w="3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02691520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2E57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MODIFICADO                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A7E8D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ASIGNADO</w:t>
            </w:r>
          </w:p>
        </w:tc>
        <w:tc>
          <w:tcPr>
            <w:tcW w:w="16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5A185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22AEE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5CE77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14:paraId="7A4E9B8B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6EE7" w14:paraId="75C3EF8C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E4927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2B8B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4D30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EE2D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EF9D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4DE0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(5)=(2)-(3)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5D52" w14:textId="77777777" w:rsidR="00126EE7" w:rsidRDefault="00126EE7" w:rsidP="0011224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(6)=(3/2)*100</w:t>
            </w:r>
          </w:p>
        </w:tc>
      </w:tr>
      <w:tr w:rsidR="00126EE7" w14:paraId="11292A19" w14:textId="77777777" w:rsidTr="00126EE7">
        <w:trPr>
          <w:trHeight w:val="187"/>
        </w:trPr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9C91D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de funcionamiento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55618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63,648,830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4BA99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27,483,954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75E5F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20,709,466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51C0D5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368,704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CB74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6,774,488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082B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75%</w:t>
            </w:r>
          </w:p>
        </w:tc>
      </w:tr>
      <w:tr w:rsidR="00126EE7" w14:paraId="45097CFB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40B7B4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45E31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E438F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2A2E9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95F2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1B75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60B2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6EE7" w14:paraId="613CCB91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0C8DD1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Despacho Superior</w:t>
            </w:r>
          </w:p>
        </w:tc>
        <w:tc>
          <w:tcPr>
            <w:tcW w:w="16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93C3B" w14:textId="77777777" w:rsidR="00126EE7" w:rsidRPr="00A63149" w:rsidRDefault="00126EE7" w:rsidP="00112248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/>
                <w:color w:val="000000"/>
                <w:sz w:val="16"/>
                <w:szCs w:val="16"/>
              </w:rPr>
              <w:t>4,254,552</w:t>
            </w:r>
          </w:p>
        </w:tc>
        <w:tc>
          <w:tcPr>
            <w:tcW w:w="1236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6AD7" w14:textId="77777777" w:rsidR="00126EE7" w:rsidRPr="00A63149" w:rsidRDefault="00126EE7" w:rsidP="00112248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/>
                <w:color w:val="000000"/>
                <w:sz w:val="16"/>
                <w:szCs w:val="16"/>
              </w:rPr>
              <w:t>1,478,830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97EB" w14:textId="77777777" w:rsidR="00126EE7" w:rsidRPr="00A63149" w:rsidRDefault="00126EE7" w:rsidP="00112248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/>
                <w:color w:val="000000"/>
                <w:sz w:val="16"/>
                <w:szCs w:val="16"/>
              </w:rPr>
              <w:t>1,140,372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D5BA" w14:textId="77777777" w:rsidR="00126EE7" w:rsidRPr="005366CE" w:rsidRDefault="00126EE7" w:rsidP="00112248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6CE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4C17" w14:textId="77777777" w:rsidR="00126EE7" w:rsidRPr="005366CE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366C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338,458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ACA39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77%</w:t>
            </w:r>
          </w:p>
        </w:tc>
      </w:tr>
      <w:tr w:rsidR="00126EE7" w14:paraId="37C5E700" w14:textId="77777777" w:rsidTr="00126EE7">
        <w:trPr>
          <w:trHeight w:val="187"/>
        </w:trPr>
        <w:tc>
          <w:tcPr>
            <w:tcW w:w="3967" w:type="dxa"/>
            <w:tcBorders>
              <w:top w:val="single" w:sz="8" w:space="0" w:color="FF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A51DD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Asesoría Jurídica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8378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1,300,971</w:t>
            </w:r>
          </w:p>
        </w:tc>
        <w:tc>
          <w:tcPr>
            <w:tcW w:w="1236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79E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388,225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18B7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295,860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1758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7643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92,365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BECBC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76%</w:t>
            </w:r>
          </w:p>
        </w:tc>
      </w:tr>
      <w:tr w:rsidR="00126EE7" w14:paraId="35FBB5E4" w14:textId="77777777" w:rsidTr="00126EE7">
        <w:trPr>
          <w:trHeight w:val="187"/>
        </w:trPr>
        <w:tc>
          <w:tcPr>
            <w:tcW w:w="39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BCAD5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Ceremonial del Estado y Protocolo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336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1,432,099</w:t>
            </w:r>
          </w:p>
        </w:tc>
        <w:tc>
          <w:tcPr>
            <w:tcW w:w="12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87EEBE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555,144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1C0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436,247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BF5D0B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FC90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118,897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FD99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79%</w:t>
            </w:r>
          </w:p>
        </w:tc>
      </w:tr>
      <w:tr w:rsidR="00126EE7" w14:paraId="1A395F97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DC778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Información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FFB1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340,480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FB2EC82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120,177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34C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92,560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77EAD29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CE11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27,617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49A6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77%</w:t>
            </w:r>
          </w:p>
        </w:tc>
      </w:tr>
      <w:tr w:rsidR="00126EE7" w14:paraId="5D5620E5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4E81E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Eventos Internacionales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98C9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1,915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E33071E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1,915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05AE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3D7C0B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A45BD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1,915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424C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126EE7" w14:paraId="6ECD7A99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8CF60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Jornada Mundial de la Juventud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7C14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289,016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B3CDBD0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289,016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9E85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258,259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9D313A1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F3FD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30,757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E4FD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89%</w:t>
            </w:r>
          </w:p>
        </w:tc>
      </w:tr>
      <w:tr w:rsidR="00126EE7" w14:paraId="5C9CE2A1" w14:textId="77777777" w:rsidTr="00126EE7">
        <w:trPr>
          <w:trHeight w:val="187"/>
        </w:trPr>
        <w:tc>
          <w:tcPr>
            <w:tcW w:w="39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544BB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Servicios Administrativos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999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6,496,338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1341A84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2,657,786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A04C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1,231,558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3E48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368,704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3C20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1,426,228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8E04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46%</w:t>
            </w:r>
          </w:p>
        </w:tc>
      </w:tr>
      <w:tr w:rsidR="00126EE7" w14:paraId="6178B4E9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F16A7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Política Exterior</w:t>
            </w:r>
          </w:p>
        </w:tc>
        <w:tc>
          <w:tcPr>
            <w:tcW w:w="16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4C82E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44,657,154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970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19,846,627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F78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16,160,774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B6BC7B7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90DF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3,685,853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893D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81%</w:t>
            </w:r>
          </w:p>
        </w:tc>
      </w:tr>
      <w:tr w:rsidR="00126EE7" w14:paraId="4EB2E857" w14:textId="77777777" w:rsidTr="00126EE7">
        <w:trPr>
          <w:trHeight w:val="187"/>
        </w:trPr>
        <w:tc>
          <w:tcPr>
            <w:tcW w:w="396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140FC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Transferencias Varias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6E46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4,876,305</w:t>
            </w:r>
          </w:p>
        </w:tc>
        <w:tc>
          <w:tcPr>
            <w:tcW w:w="123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2D6248E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2,146,234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53832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1,093,836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9C37D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4669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1,052,398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063C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51%</w:t>
            </w:r>
          </w:p>
        </w:tc>
      </w:tr>
      <w:tr w:rsidR="00126EE7" w14:paraId="762ADCFB" w14:textId="77777777" w:rsidTr="00126EE7">
        <w:trPr>
          <w:trHeight w:val="124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82274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E959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3080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8C7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B07D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88C6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D3D8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6EE7" w14:paraId="184A83A0" w14:textId="77777777" w:rsidTr="00126EE7">
        <w:trPr>
          <w:trHeight w:val="187"/>
        </w:trPr>
        <w:tc>
          <w:tcPr>
            <w:tcW w:w="3967" w:type="dxa"/>
            <w:tcBorders>
              <w:top w:val="single" w:sz="8" w:space="0" w:color="FFFFFF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56C8F61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de Inversión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5625E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2,614,038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B79B9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2,557,038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9BCA5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2,277,515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4A6EB52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9E797D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1,861,382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7BF0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89%</w:t>
            </w:r>
          </w:p>
        </w:tc>
      </w:tr>
      <w:tr w:rsidR="00126EE7" w14:paraId="462B8A07" w14:textId="77777777" w:rsidTr="00126EE7">
        <w:trPr>
          <w:trHeight w:val="385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85801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Restauración del Palacio Bolívar y Adecuación del Colegio Javier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5181F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1,588,483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BBB3D8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1,588,483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E6FE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1,588,482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D8E94E2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2908C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1AA9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126EE7" w14:paraId="0EFE8074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B1712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Fortalecimiento Dotación Económica </w:t>
            </w:r>
          </w:p>
        </w:tc>
        <w:tc>
          <w:tcPr>
            <w:tcW w:w="16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0CFED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725,930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2858E64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725,930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5D42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474,326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7907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E964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251,604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9817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65%</w:t>
            </w:r>
          </w:p>
        </w:tc>
      </w:tr>
      <w:tr w:rsidR="00126EE7" w14:paraId="5CE335FA" w14:textId="77777777" w:rsidTr="00126EE7">
        <w:trPr>
          <w:trHeight w:val="286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28A4D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Implementación Red Colaborativa de Puntos Focales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0939A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0BB3671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4911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FDFA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0967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AD5B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126EE7" w14:paraId="55DD7432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AA153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Implementación Fortalecimiento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B970A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94E22B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9648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0CC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89E9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27209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126EE7" w14:paraId="7F2E7EA9" w14:textId="77777777" w:rsidTr="00126EE7">
        <w:trPr>
          <w:trHeight w:val="277"/>
        </w:trPr>
        <w:tc>
          <w:tcPr>
            <w:tcW w:w="3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BF9375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Equipamiento y Fortalecimiento Institucional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8C704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299,625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EAA6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242,625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1C86E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214,707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13FB" w14:textId="77777777" w:rsidR="00126EE7" w:rsidRDefault="00126EE7" w:rsidP="0011224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4CF0" w14:textId="77777777" w:rsidR="00126EE7" w:rsidRPr="00A63149" w:rsidRDefault="00126EE7" w:rsidP="00112248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27,918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E7B56" w14:textId="77777777" w:rsidR="00126EE7" w:rsidRPr="00A63149" w:rsidRDefault="00126EE7" w:rsidP="00112248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A63149">
              <w:rPr>
                <w:rFonts w:ascii="Calibri" w:hAnsi="Calibri"/>
                <w:bCs/>
                <w:color w:val="000000"/>
                <w:sz w:val="16"/>
                <w:szCs w:val="16"/>
              </w:rPr>
              <w:t>88%</w:t>
            </w:r>
          </w:p>
        </w:tc>
      </w:tr>
      <w:tr w:rsidR="00126EE7" w14:paraId="13DE8093" w14:textId="77777777" w:rsidTr="00126EE7">
        <w:trPr>
          <w:trHeight w:val="187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E134E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Total de Gastos</w:t>
            </w:r>
          </w:p>
        </w:tc>
        <w:tc>
          <w:tcPr>
            <w:tcW w:w="1640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F75F31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66,262,868</w:t>
            </w:r>
          </w:p>
        </w:tc>
        <w:tc>
          <w:tcPr>
            <w:tcW w:w="1236" w:type="dxa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0BBC0F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30,040,992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A5C73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22,986,982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68D1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375,703</w:t>
            </w:r>
          </w:p>
        </w:tc>
        <w:tc>
          <w:tcPr>
            <w:tcW w:w="1450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E6E1" w14:textId="77777777" w:rsidR="00126EE7" w:rsidRDefault="00126EE7" w:rsidP="0011224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7,054,010</w:t>
            </w:r>
          </w:p>
        </w:tc>
        <w:tc>
          <w:tcPr>
            <w:tcW w:w="1735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0E1E" w14:textId="77777777" w:rsidR="00126EE7" w:rsidRDefault="00126EE7" w:rsidP="0011224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77%</w:t>
            </w:r>
          </w:p>
        </w:tc>
      </w:tr>
      <w:tr w:rsidR="00126EE7" w14:paraId="7CB75A1D" w14:textId="77777777" w:rsidTr="00126EE7">
        <w:trPr>
          <w:trHeight w:val="178"/>
        </w:trPr>
        <w:tc>
          <w:tcPr>
            <w:tcW w:w="13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3BA0" w14:textId="77777777" w:rsidR="00126EE7" w:rsidRDefault="00126EE7" w:rsidP="0011224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Fuente: Dirección de Administración y Finanzas, Ministerio de Relaciones Exteriores.</w:t>
            </w:r>
          </w:p>
        </w:tc>
      </w:tr>
    </w:tbl>
    <w:p w14:paraId="21090771" w14:textId="77777777" w:rsidR="00126EE7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</w:rPr>
      </w:pPr>
    </w:p>
    <w:p w14:paraId="2063B0EC" w14:textId="77777777" w:rsidR="00126EE7" w:rsidRPr="00EB7193" w:rsidRDefault="00126EE7" w:rsidP="00126EE7">
      <w:pPr>
        <w:pStyle w:val="Textoindependiente"/>
        <w:widowControl/>
        <w:tabs>
          <w:tab w:val="clear" w:pos="0"/>
        </w:tabs>
        <w:suppressAutoHyphens w:val="0"/>
        <w:autoSpaceDE/>
        <w:spacing w:line="360" w:lineRule="auto"/>
        <w:rPr>
          <w:rFonts w:eastAsia="Arial Unicode MS"/>
          <w:b/>
          <w:color w:val="333333"/>
          <w:lang w:val="es-ES"/>
        </w:rPr>
      </w:pPr>
    </w:p>
    <w:p w14:paraId="2B870C27" w14:textId="77777777" w:rsidR="00126EE7" w:rsidRPr="00D92F58" w:rsidRDefault="00126EE7" w:rsidP="00126EE7">
      <w:pPr>
        <w:pStyle w:val="Textoindependiente"/>
        <w:widowControl/>
        <w:numPr>
          <w:ilvl w:val="0"/>
          <w:numId w:val="20"/>
        </w:numPr>
        <w:tabs>
          <w:tab w:val="clear" w:pos="0"/>
        </w:tabs>
        <w:suppressAutoHyphens w:val="0"/>
        <w:autoSpaceDE/>
        <w:spacing w:line="360" w:lineRule="auto"/>
        <w:ind w:left="357" w:hanging="357"/>
        <w:rPr>
          <w:rFonts w:eastAsia="Arial Unicode MS"/>
          <w:b/>
          <w:bCs/>
          <w:color w:val="333333"/>
          <w:lang w:eastAsia="es-ES"/>
        </w:rPr>
      </w:pPr>
      <w:r w:rsidRPr="00D92F58">
        <w:rPr>
          <w:rFonts w:eastAsia="Arial Unicode MS"/>
          <w:b/>
          <w:bCs/>
          <w:color w:val="333333"/>
          <w:lang w:eastAsia="es-ES"/>
        </w:rPr>
        <w:t>PRESUPUESTO DE INVERSIÓN</w:t>
      </w:r>
    </w:p>
    <w:p w14:paraId="76E9F368" w14:textId="77777777" w:rsidR="00126EE7" w:rsidRPr="00D92F58" w:rsidRDefault="00126EE7" w:rsidP="00126EE7">
      <w:pPr>
        <w:spacing w:line="360" w:lineRule="auto"/>
        <w:jc w:val="both"/>
        <w:rPr>
          <w:rFonts w:ascii="Arial" w:eastAsia="Arial Unicode MS" w:hAnsi="Arial" w:cs="Arial"/>
          <w:color w:val="333333"/>
        </w:rPr>
      </w:pPr>
      <w:r w:rsidRPr="00D92F58">
        <w:rPr>
          <w:rFonts w:ascii="Arial" w:eastAsia="Arial Unicode MS" w:hAnsi="Arial" w:cs="Arial"/>
        </w:rPr>
        <w:t xml:space="preserve">El </w:t>
      </w:r>
      <w:r w:rsidRPr="00D92F58">
        <w:rPr>
          <w:rFonts w:ascii="Arial" w:eastAsia="Arial Unicode MS" w:hAnsi="Arial" w:cs="Arial"/>
          <w:color w:val="262626" w:themeColor="text1" w:themeTint="D9"/>
        </w:rPr>
        <w:t xml:space="preserve">Presupuesto Modificado de Inversiones de este Ministerio aprobado es por la suma de </w:t>
      </w:r>
      <w:r w:rsidRPr="00D92F58">
        <w:rPr>
          <w:rFonts w:ascii="Arial" w:eastAsia="Arial Unicode MS" w:hAnsi="Arial" w:cs="Arial"/>
          <w:b/>
          <w:color w:val="262626" w:themeColor="text1" w:themeTint="D9"/>
        </w:rPr>
        <w:t>B/.</w:t>
      </w:r>
      <w:r>
        <w:rPr>
          <w:rFonts w:ascii="Arial" w:eastAsia="Arial Unicode MS" w:hAnsi="Arial" w:cs="Arial"/>
          <w:b/>
          <w:color w:val="262626" w:themeColor="text1" w:themeTint="D9"/>
        </w:rPr>
        <w:t>2</w:t>
      </w:r>
      <w:proofErr w:type="gramStart"/>
      <w:r>
        <w:rPr>
          <w:rFonts w:ascii="Arial" w:eastAsia="Arial Unicode MS" w:hAnsi="Arial" w:cs="Arial"/>
          <w:b/>
          <w:color w:val="262626" w:themeColor="text1" w:themeTint="D9"/>
        </w:rPr>
        <w:t>,614,038</w:t>
      </w:r>
      <w:proofErr w:type="gramEnd"/>
      <w:r w:rsidRPr="00D92F58">
        <w:rPr>
          <w:rFonts w:ascii="Arial" w:eastAsia="Arial Unicode MS" w:hAnsi="Arial" w:cs="Arial"/>
          <w:b/>
          <w:color w:val="262626" w:themeColor="text1" w:themeTint="D9"/>
        </w:rPr>
        <w:t xml:space="preserve">.  </w:t>
      </w:r>
      <w:r w:rsidRPr="00D92F58">
        <w:rPr>
          <w:rFonts w:ascii="Arial" w:eastAsia="Arial Unicode MS" w:hAnsi="Arial" w:cs="Arial"/>
          <w:color w:val="262626" w:themeColor="text1" w:themeTint="D9"/>
        </w:rPr>
        <w:t xml:space="preserve">El Presupuesto Asignado es de </w:t>
      </w:r>
      <w:r w:rsidRPr="00D92F58">
        <w:rPr>
          <w:rFonts w:ascii="Arial" w:eastAsia="Arial Unicode MS" w:hAnsi="Arial" w:cs="Arial"/>
          <w:b/>
          <w:color w:val="262626" w:themeColor="text1" w:themeTint="D9"/>
        </w:rPr>
        <w:t>B/.</w:t>
      </w:r>
      <w:r>
        <w:rPr>
          <w:rFonts w:ascii="Arial" w:eastAsia="Arial Unicode MS" w:hAnsi="Arial" w:cs="Arial"/>
          <w:b/>
          <w:color w:val="262626" w:themeColor="text1" w:themeTint="D9"/>
        </w:rPr>
        <w:t>2</w:t>
      </w:r>
      <w:proofErr w:type="gramStart"/>
      <w:r>
        <w:rPr>
          <w:rFonts w:ascii="Arial" w:eastAsia="Arial Unicode MS" w:hAnsi="Arial" w:cs="Arial"/>
          <w:b/>
          <w:color w:val="262626" w:themeColor="text1" w:themeTint="D9"/>
        </w:rPr>
        <w:t>,557,038</w:t>
      </w:r>
      <w:proofErr w:type="gramEnd"/>
      <w:r w:rsidRPr="00D92F58">
        <w:rPr>
          <w:rFonts w:ascii="Arial" w:eastAsia="Arial Unicode MS" w:hAnsi="Arial" w:cs="Arial"/>
          <w:b/>
          <w:color w:val="262626" w:themeColor="text1" w:themeTint="D9"/>
        </w:rPr>
        <w:t xml:space="preserve">, </w:t>
      </w:r>
      <w:r w:rsidRPr="00D92F58">
        <w:rPr>
          <w:rFonts w:ascii="Arial" w:eastAsia="Arial Unicode MS" w:hAnsi="Arial" w:cs="Arial"/>
          <w:color w:val="333333"/>
        </w:rPr>
        <w:t>Inversión muestra ejecución durante el mes de estudio.</w:t>
      </w:r>
    </w:p>
    <w:p w14:paraId="082BC250" w14:textId="77777777" w:rsidR="00126EE7" w:rsidRPr="00D92F58" w:rsidRDefault="00126EE7" w:rsidP="00126EE7">
      <w:pPr>
        <w:rPr>
          <w:rFonts w:ascii="Arial" w:eastAsia="Arial Unicode MS" w:hAnsi="Arial" w:cs="Arial"/>
          <w:color w:val="333333"/>
        </w:rPr>
      </w:pPr>
    </w:p>
    <w:p w14:paraId="11CA2F56" w14:textId="77777777" w:rsidR="00126EE7" w:rsidRPr="00021152" w:rsidRDefault="00126EE7" w:rsidP="00126EE7">
      <w:pPr>
        <w:pStyle w:val="Textoindependiente"/>
        <w:widowControl/>
        <w:suppressAutoHyphens w:val="0"/>
        <w:autoSpaceDE/>
        <w:spacing w:line="360" w:lineRule="auto"/>
        <w:rPr>
          <w:rFonts w:eastAsia="Arial Unicode MS"/>
          <w:b/>
          <w:bCs/>
          <w:color w:val="333333"/>
          <w:lang w:eastAsia="es-ES"/>
        </w:rPr>
      </w:pPr>
      <w:r w:rsidRPr="00D92F58">
        <w:rPr>
          <w:rFonts w:eastAsia="Arial Unicode MS"/>
          <w:color w:val="262626" w:themeColor="text1" w:themeTint="D9"/>
        </w:rPr>
        <w:t>Con respecto a los proyectos que la Institución actualmente está desarrollando, podemos señalar lo siguiente:</w:t>
      </w:r>
    </w:p>
    <w:p w14:paraId="1486B988" w14:textId="77777777" w:rsidR="00126EE7" w:rsidRPr="00F86888" w:rsidRDefault="00126EE7" w:rsidP="00126EE7">
      <w:pPr>
        <w:spacing w:line="360" w:lineRule="auto"/>
        <w:jc w:val="both"/>
        <w:rPr>
          <w:rFonts w:ascii="Arial" w:eastAsia="Arial Unicode MS" w:hAnsi="Arial" w:cs="Arial"/>
          <w:b/>
          <w:color w:val="333333"/>
          <w:lang w:val="es-ES_tradnl"/>
        </w:rPr>
      </w:pPr>
    </w:p>
    <w:p w14:paraId="0F884E3B" w14:textId="77777777" w:rsidR="00126EE7" w:rsidRPr="00671FE1" w:rsidRDefault="00126EE7" w:rsidP="00126EE7">
      <w:pPr>
        <w:spacing w:line="360" w:lineRule="auto"/>
        <w:jc w:val="both"/>
        <w:rPr>
          <w:rFonts w:ascii="Arial" w:eastAsia="Arial Unicode MS" w:hAnsi="Arial" w:cs="Arial"/>
          <w:b/>
          <w:color w:val="333333"/>
        </w:rPr>
      </w:pPr>
      <w:r w:rsidRPr="00671FE1">
        <w:rPr>
          <w:rFonts w:ascii="Arial" w:eastAsia="Arial Unicode MS" w:hAnsi="Arial" w:cs="Arial"/>
          <w:b/>
          <w:color w:val="333333"/>
          <w:lang w:val="es-ES_tradnl"/>
        </w:rPr>
        <w:t>Restauración y Remodelación del Palacio Bolívar y adecuación de espacios internos</w:t>
      </w:r>
      <w:r w:rsidRPr="00671FE1">
        <w:rPr>
          <w:rFonts w:ascii="Arial" w:eastAsia="Arial Unicode MS" w:hAnsi="Arial" w:cs="Arial"/>
          <w:b/>
          <w:color w:val="333333"/>
        </w:rPr>
        <w:t xml:space="preserve">  </w:t>
      </w:r>
    </w:p>
    <w:p w14:paraId="7B2DED45" w14:textId="77777777" w:rsidR="00126EE7" w:rsidRPr="00671FE1" w:rsidRDefault="00126EE7" w:rsidP="00126EE7">
      <w:pPr>
        <w:jc w:val="both"/>
        <w:rPr>
          <w:rFonts w:ascii="Arial" w:eastAsia="Arial Unicode MS" w:hAnsi="Arial" w:cs="Arial"/>
          <w:b/>
          <w:color w:val="333333"/>
          <w:lang w:val="es-ES_tradnl"/>
        </w:rPr>
      </w:pPr>
    </w:p>
    <w:p w14:paraId="2BF466FB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  <w:r w:rsidRPr="00671FE1">
        <w:rPr>
          <w:rFonts w:ascii="Arial" w:hAnsi="Arial" w:cs="Arial"/>
        </w:rPr>
        <w:t>La disponibilidad presupuestaria del proyecto para la vigencia fiscal 2018</w:t>
      </w:r>
      <w:r>
        <w:rPr>
          <w:rFonts w:ascii="Arial" w:hAnsi="Arial" w:cs="Arial"/>
        </w:rPr>
        <w:t>,</w:t>
      </w:r>
      <w:r w:rsidRPr="00671FE1">
        <w:rPr>
          <w:rFonts w:ascii="Arial" w:hAnsi="Arial" w:cs="Arial"/>
        </w:rPr>
        <w:t xml:space="preserve"> corresponde a la suma de B/.1</w:t>
      </w:r>
      <w:proofErr w:type="gramStart"/>
      <w:r w:rsidRPr="00671FE1">
        <w:rPr>
          <w:rFonts w:ascii="Arial" w:hAnsi="Arial" w:cs="Arial"/>
        </w:rPr>
        <w:t>,177,596</w:t>
      </w:r>
      <w:proofErr w:type="gramEnd"/>
      <w:r w:rsidRPr="00671FE1">
        <w:rPr>
          <w:rFonts w:ascii="Arial" w:hAnsi="Arial" w:cs="Arial"/>
        </w:rPr>
        <w:t>.</w:t>
      </w:r>
    </w:p>
    <w:p w14:paraId="5A1F68D9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</w:p>
    <w:p w14:paraId="0206397B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  <w:r w:rsidRPr="00671FE1">
        <w:rPr>
          <w:rFonts w:ascii="Arial" w:hAnsi="Arial" w:cs="Arial"/>
        </w:rPr>
        <w:t xml:space="preserve">Mediante Licitación Por Mejor Valor No. 2016-0-05-0-08-LV-007642, se adjudicó a la empresa Delta 9 Técnicas Auxiliares de la Construcción, S.A., por un monto total de B/.6,231,326.26, y con periodo de ejecución de cuatrocientos cincuenta (450) días calendario. Se formalizó adenda de tiempo y costo por B/.1,896,213.34. </w:t>
      </w:r>
      <w:r>
        <w:rPr>
          <w:rFonts w:ascii="Arial" w:hAnsi="Arial" w:cs="Arial"/>
        </w:rPr>
        <w:t>El avance físico es de 93</w:t>
      </w:r>
      <w:r w:rsidRPr="00671FE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y el financiero 83</w:t>
      </w:r>
      <w:r w:rsidRPr="00671FE1">
        <w:rPr>
          <w:rFonts w:ascii="Arial" w:hAnsi="Arial" w:cs="Arial"/>
        </w:rPr>
        <w:t xml:space="preserve">%, al mes de </w:t>
      </w:r>
      <w:r>
        <w:rPr>
          <w:rFonts w:ascii="Arial" w:hAnsi="Arial" w:cs="Arial"/>
        </w:rPr>
        <w:t>abril</w:t>
      </w:r>
      <w:r w:rsidRPr="00671FE1">
        <w:rPr>
          <w:rFonts w:ascii="Arial" w:hAnsi="Arial" w:cs="Arial"/>
        </w:rPr>
        <w:t>, respectivamente.</w:t>
      </w:r>
    </w:p>
    <w:p w14:paraId="43D7E5B2" w14:textId="77777777" w:rsidR="00126EE7" w:rsidRPr="00671FE1" w:rsidRDefault="00126EE7" w:rsidP="00126EE7">
      <w:pPr>
        <w:jc w:val="both"/>
        <w:rPr>
          <w:rFonts w:ascii="Arial" w:hAnsi="Arial" w:cs="Arial"/>
        </w:rPr>
      </w:pPr>
    </w:p>
    <w:p w14:paraId="56C0C8E1" w14:textId="3CE74006" w:rsidR="00126EE7" w:rsidRDefault="00126EE7" w:rsidP="00126EE7">
      <w:pPr>
        <w:spacing w:line="360" w:lineRule="auto"/>
        <w:jc w:val="both"/>
        <w:rPr>
          <w:rFonts w:ascii="Arial" w:hAnsi="Arial" w:cs="Arial"/>
        </w:rPr>
      </w:pPr>
      <w:r w:rsidRPr="00671FE1">
        <w:rPr>
          <w:rFonts w:ascii="Arial" w:hAnsi="Arial" w:cs="Arial"/>
        </w:rPr>
        <w:t xml:space="preserve">La fecha de entrega del Proyecto </w:t>
      </w:r>
      <w:r>
        <w:rPr>
          <w:rFonts w:ascii="Arial" w:hAnsi="Arial" w:cs="Arial"/>
        </w:rPr>
        <w:t>es en mayo</w:t>
      </w:r>
      <w:r w:rsidRPr="00671FE1">
        <w:rPr>
          <w:rFonts w:ascii="Arial" w:hAnsi="Arial" w:cs="Arial"/>
        </w:rPr>
        <w:t xml:space="preserve"> de 2019, según adenda</w:t>
      </w:r>
      <w:r>
        <w:rPr>
          <w:rFonts w:ascii="Arial" w:hAnsi="Arial" w:cs="Arial"/>
        </w:rPr>
        <w:t>.</w:t>
      </w:r>
      <w:r w:rsidRPr="00671FE1">
        <w:rPr>
          <w:rFonts w:ascii="Arial" w:hAnsi="Arial" w:cs="Arial"/>
        </w:rPr>
        <w:t xml:space="preserve"> </w:t>
      </w:r>
    </w:p>
    <w:p w14:paraId="0E8FE952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</w:p>
    <w:p w14:paraId="0F8EB70A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  <w:b/>
        </w:rPr>
      </w:pPr>
      <w:r w:rsidRPr="00671FE1">
        <w:rPr>
          <w:rFonts w:ascii="Arial" w:hAnsi="Arial" w:cs="Arial"/>
          <w:b/>
        </w:rPr>
        <w:t>Fortalecimiento Dotación Económica para Foros</w:t>
      </w:r>
    </w:p>
    <w:p w14:paraId="7110A830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  <w:b/>
        </w:rPr>
      </w:pPr>
    </w:p>
    <w:p w14:paraId="27112410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  <w:r w:rsidRPr="00671FE1">
        <w:rPr>
          <w:rFonts w:ascii="Arial" w:hAnsi="Arial" w:cs="Arial"/>
        </w:rPr>
        <w:t>La disponibilidad presupuestaria del proyecto para la vigencia fiscal 2019 corresponde a la suma de B/.500</w:t>
      </w:r>
      <w:proofErr w:type="gramStart"/>
      <w:r w:rsidRPr="00671FE1">
        <w:rPr>
          <w:rFonts w:ascii="Arial" w:hAnsi="Arial" w:cs="Arial"/>
        </w:rPr>
        <w:t>,000</w:t>
      </w:r>
      <w:proofErr w:type="gramEnd"/>
      <w:r w:rsidRPr="00671FE1">
        <w:rPr>
          <w:rFonts w:ascii="Arial" w:hAnsi="Arial" w:cs="Arial"/>
        </w:rPr>
        <w:t>.</w:t>
      </w:r>
    </w:p>
    <w:p w14:paraId="57A13F92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</w:p>
    <w:p w14:paraId="6010A1FF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  <w:b/>
        </w:rPr>
      </w:pPr>
      <w:r w:rsidRPr="00671FE1">
        <w:rPr>
          <w:rFonts w:ascii="Arial" w:hAnsi="Arial" w:cs="Arial"/>
          <w:b/>
        </w:rPr>
        <w:t>Implementación Red Colaborativa de Puntos Focales</w:t>
      </w:r>
    </w:p>
    <w:p w14:paraId="7923AB4B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  <w:r w:rsidRPr="00671FE1">
        <w:rPr>
          <w:rFonts w:ascii="Arial" w:hAnsi="Arial" w:cs="Arial"/>
        </w:rPr>
        <w:t>La disponibilidad presupuestaria del proyecto para la vigencia fiscal 2019 corresponde a la suma de B/.350</w:t>
      </w:r>
      <w:proofErr w:type="gramStart"/>
      <w:r w:rsidRPr="00671FE1">
        <w:rPr>
          <w:rFonts w:ascii="Arial" w:hAnsi="Arial" w:cs="Arial"/>
        </w:rPr>
        <w:t>,000</w:t>
      </w:r>
      <w:proofErr w:type="gramEnd"/>
      <w:r w:rsidRPr="00671FE1">
        <w:rPr>
          <w:rFonts w:ascii="Arial" w:hAnsi="Arial" w:cs="Arial"/>
        </w:rPr>
        <w:t>.</w:t>
      </w:r>
    </w:p>
    <w:p w14:paraId="686F5F85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</w:p>
    <w:p w14:paraId="13B05426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  <w:r w:rsidRPr="00671FE1">
        <w:rPr>
          <w:rFonts w:ascii="Arial" w:hAnsi="Arial" w:cs="Arial"/>
        </w:rPr>
        <w:t>Se ha logrado levantar el sistema tecnológico vía web Intranet (</w:t>
      </w:r>
      <w:proofErr w:type="spellStart"/>
      <w:r w:rsidRPr="00671FE1">
        <w:rPr>
          <w:rFonts w:ascii="Arial" w:hAnsi="Arial" w:cs="Arial"/>
        </w:rPr>
        <w:t>sharepoint</w:t>
      </w:r>
      <w:proofErr w:type="spellEnd"/>
      <w:r w:rsidRPr="00671FE1">
        <w:rPr>
          <w:rFonts w:ascii="Arial" w:hAnsi="Arial" w:cs="Arial"/>
        </w:rPr>
        <w:t>) que facilita la disponibilidad de una gran variedad de lineamientos, documentos, agendas, compromisos, trabajo en red, etc. para las personas que la integran. Esto proporcionará un acceso centralizado y coherente a los conocimientos de la institución, o lo que es lo mismo, una capitalización del conocimiento, apoyando el intercambio de datos y con ello el trabajo en grupo por implicar un acceso a la información simplificado entre los integrantes de la organización.</w:t>
      </w:r>
    </w:p>
    <w:p w14:paraId="6E98FFAE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</w:p>
    <w:p w14:paraId="7E95BA28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  <w:b/>
        </w:rPr>
      </w:pPr>
      <w:r w:rsidRPr="00671FE1">
        <w:rPr>
          <w:rFonts w:ascii="Arial" w:hAnsi="Arial" w:cs="Arial"/>
          <w:b/>
        </w:rPr>
        <w:t xml:space="preserve">Implementación Fortalecimiento (Plan de Formación de la Academia y Sala Exhibición) </w:t>
      </w:r>
    </w:p>
    <w:p w14:paraId="51138BCA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  <w:r w:rsidRPr="00671FE1">
        <w:rPr>
          <w:rFonts w:ascii="Arial" w:hAnsi="Arial" w:cs="Arial"/>
        </w:rPr>
        <w:t>La disponibilidad presupuestaria del proyecto para la vigencia fiscal 2019, corresponde a la suma de B/.1</w:t>
      </w:r>
      <w:proofErr w:type="gramStart"/>
      <w:r w:rsidRPr="00671FE1">
        <w:rPr>
          <w:rFonts w:ascii="Arial" w:hAnsi="Arial" w:cs="Arial"/>
        </w:rPr>
        <w:t>,000,000</w:t>
      </w:r>
      <w:proofErr w:type="gramEnd"/>
      <w:r w:rsidRPr="00671FE1">
        <w:rPr>
          <w:rFonts w:ascii="Arial" w:hAnsi="Arial" w:cs="Arial"/>
        </w:rPr>
        <w:t>.</w:t>
      </w:r>
    </w:p>
    <w:p w14:paraId="75E69694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</w:rPr>
      </w:pPr>
    </w:p>
    <w:p w14:paraId="2A2B8F92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  <w:b/>
        </w:rPr>
      </w:pPr>
      <w:r w:rsidRPr="00671FE1">
        <w:rPr>
          <w:rFonts w:ascii="Arial" w:hAnsi="Arial" w:cs="Arial"/>
          <w:b/>
        </w:rPr>
        <w:t xml:space="preserve">Equipamiento y Fortalecimiento Institucional </w:t>
      </w:r>
    </w:p>
    <w:p w14:paraId="642FABC7" w14:textId="77777777" w:rsidR="00126EE7" w:rsidRPr="00671FE1" w:rsidRDefault="00126EE7" w:rsidP="00126EE7">
      <w:pPr>
        <w:spacing w:line="360" w:lineRule="auto"/>
        <w:jc w:val="both"/>
        <w:rPr>
          <w:rFonts w:ascii="Arial" w:hAnsi="Arial" w:cs="Arial"/>
          <w:b/>
        </w:rPr>
      </w:pPr>
    </w:p>
    <w:p w14:paraId="6D9EB30F" w14:textId="019A04DA" w:rsidR="00126EE7" w:rsidRPr="0053337B" w:rsidRDefault="00126EE7" w:rsidP="00E04363">
      <w:pPr>
        <w:spacing w:line="360" w:lineRule="auto"/>
        <w:jc w:val="both"/>
        <w:rPr>
          <w:rFonts w:ascii="Arial" w:hAnsi="Arial" w:cs="Arial"/>
        </w:rPr>
      </w:pPr>
      <w:r w:rsidRPr="00671FE1">
        <w:rPr>
          <w:rFonts w:ascii="Arial" w:hAnsi="Arial" w:cs="Arial"/>
        </w:rPr>
        <w:t>La disponibilidad presupuestaria del proyecto para la vigencia fiscal 2019, corresponde a la suma de B/.316</w:t>
      </w:r>
      <w:proofErr w:type="gramStart"/>
      <w:r w:rsidRPr="00671FE1">
        <w:rPr>
          <w:rFonts w:ascii="Arial" w:hAnsi="Arial" w:cs="Arial"/>
        </w:rPr>
        <w:t>,000</w:t>
      </w:r>
      <w:proofErr w:type="gramEnd"/>
      <w:r w:rsidRPr="00671FE1">
        <w:rPr>
          <w:rFonts w:ascii="Arial" w:hAnsi="Arial" w:cs="Arial"/>
        </w:rPr>
        <w:t>.</w:t>
      </w:r>
      <w:bookmarkStart w:id="0" w:name="_GoBack"/>
      <w:bookmarkEnd w:id="0"/>
    </w:p>
    <w:sectPr w:rsidR="00126EE7" w:rsidRPr="0053337B" w:rsidSect="006A0A86">
      <w:headerReference w:type="default" r:id="rId12"/>
      <w:footerReference w:type="default" r:id="rId13"/>
      <w:pgSz w:w="20160" w:h="12240" w:orient="landscape" w:code="5"/>
      <w:pgMar w:top="1701" w:right="1417" w:bottom="170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7875" w14:textId="77777777" w:rsidR="005D1BF4" w:rsidRDefault="005D1BF4" w:rsidP="00BE1318">
      <w:r>
        <w:separator/>
      </w:r>
    </w:p>
  </w:endnote>
  <w:endnote w:type="continuationSeparator" w:id="0">
    <w:p w14:paraId="05470EC9" w14:textId="77777777" w:rsidR="005D1BF4" w:rsidRDefault="005D1BF4" w:rsidP="00BE1318">
      <w:r>
        <w:continuationSeparator/>
      </w:r>
    </w:p>
  </w:endnote>
  <w:endnote w:type="continuationNotice" w:id="1">
    <w:p w14:paraId="631F291B" w14:textId="77777777" w:rsidR="005D1BF4" w:rsidRDefault="005D1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CA9C" w14:textId="7CAC7FDD" w:rsidR="00CE123C" w:rsidRPr="00B15328" w:rsidRDefault="00CE123C" w:rsidP="00A42CD2">
    <w:pPr>
      <w:pStyle w:val="Piedepgina"/>
      <w:jc w:val="right"/>
      <w:rPr>
        <w:rFonts w:ascii="Arial" w:hAnsi="Arial" w:cs="Arial"/>
        <w:color w:val="7F7F7F"/>
        <w:lang w:val="es-PA"/>
      </w:rPr>
    </w:pPr>
    <w:r w:rsidRPr="00B15328">
      <w:rPr>
        <w:rFonts w:ascii="Arial" w:hAnsi="Arial" w:cs="Arial"/>
        <w:color w:val="7F7F7F"/>
        <w:lang w:val="es-PA"/>
      </w:rPr>
      <w:t xml:space="preserve">Última actualización: </w:t>
    </w:r>
    <w:r w:rsidR="00126EE7">
      <w:rPr>
        <w:rFonts w:ascii="Arial" w:hAnsi="Arial" w:cs="Arial"/>
        <w:color w:val="7F7F7F"/>
        <w:lang w:val="es-PA"/>
      </w:rPr>
      <w:t>abril</w:t>
    </w:r>
    <w:r w:rsidR="006634A3">
      <w:rPr>
        <w:rFonts w:ascii="Arial" w:hAnsi="Arial" w:cs="Arial"/>
        <w:color w:val="7F7F7F"/>
        <w:lang w:val="es-PA"/>
      </w:rPr>
      <w:t xml:space="preserve"> del 2019</w:t>
    </w:r>
    <w:r w:rsidRPr="00B15328">
      <w:rPr>
        <w:rFonts w:ascii="Arial" w:hAnsi="Arial" w:cs="Arial"/>
        <w:color w:val="7F7F7F"/>
        <w:lang w:val="es-P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E6A1B" w14:textId="77777777" w:rsidR="005D1BF4" w:rsidRDefault="005D1BF4" w:rsidP="00BE1318">
      <w:r>
        <w:separator/>
      </w:r>
    </w:p>
  </w:footnote>
  <w:footnote w:type="continuationSeparator" w:id="0">
    <w:p w14:paraId="06FC6BAB" w14:textId="77777777" w:rsidR="005D1BF4" w:rsidRDefault="005D1BF4" w:rsidP="00BE1318">
      <w:r>
        <w:continuationSeparator/>
      </w:r>
    </w:p>
  </w:footnote>
  <w:footnote w:type="continuationNotice" w:id="1">
    <w:p w14:paraId="533AD8A5" w14:textId="77777777" w:rsidR="005D1BF4" w:rsidRDefault="005D1B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CA97" w14:textId="0B1CA419" w:rsidR="00CE123C" w:rsidRPr="00B15328" w:rsidRDefault="00CE123C" w:rsidP="002832AB">
    <w:pPr>
      <w:pStyle w:val="Encabezado"/>
      <w:tabs>
        <w:tab w:val="center" w:pos="8663"/>
        <w:tab w:val="left" w:pos="15025"/>
      </w:tabs>
      <w:rPr>
        <w:rFonts w:ascii="Palatino Linotype" w:hAnsi="Palatino Linotype"/>
        <w:b/>
        <w:color w:val="EEECE1"/>
        <w:sz w:val="48"/>
      </w:rPr>
    </w:pPr>
    <w:r w:rsidRPr="00B15328">
      <w:rPr>
        <w:rFonts w:ascii="Palatino Linotype" w:hAnsi="Palatino Linotype"/>
        <w:b/>
        <w:color w:val="EEECE1"/>
        <w:sz w:val="48"/>
      </w:rPr>
      <w:tab/>
    </w:r>
    <w:r w:rsidRPr="00B15328">
      <w:rPr>
        <w:rFonts w:ascii="Palatino Linotype" w:hAnsi="Palatino Linotype"/>
        <w:b/>
        <w:color w:val="EEECE1"/>
        <w:sz w:val="48"/>
      </w:rPr>
      <w:tab/>
    </w:r>
    <w:r w:rsidRPr="00B15328">
      <w:rPr>
        <w:rFonts w:ascii="Palatino Linotype" w:hAnsi="Palatino Linotype"/>
        <w:b/>
        <w:noProof/>
        <w:color w:val="EEECE1"/>
        <w:sz w:val="28"/>
        <w:lang w:val="es-PA" w:eastAsia="es-PA"/>
      </w:rPr>
      <w:drawing>
        <wp:inline distT="0" distB="0" distL="0" distR="0" wp14:anchorId="195ECA9D" wp14:editId="195ECA9E">
          <wp:extent cx="733425" cy="753570"/>
          <wp:effectExtent l="0" t="0" r="0" b="8890"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01" r="23260"/>
                  <a:stretch/>
                </pic:blipFill>
                <pic:spPr>
                  <a:xfrm>
                    <a:off x="0" y="0"/>
                    <a:ext cx="733425" cy="75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5328">
      <w:rPr>
        <w:rFonts w:ascii="Palatino Linotype" w:hAnsi="Palatino Linotype"/>
        <w:b/>
        <w:color w:val="EEECE1"/>
        <w:sz w:val="48"/>
      </w:rPr>
      <w:tab/>
    </w:r>
  </w:p>
  <w:p w14:paraId="195ECA98" w14:textId="77777777" w:rsidR="00CE123C" w:rsidRPr="00B15328" w:rsidRDefault="00CE123C" w:rsidP="001E4B02">
    <w:pPr>
      <w:pStyle w:val="Encabezado"/>
      <w:jc w:val="center"/>
      <w:rPr>
        <w:rFonts w:ascii="Palatino Linotype" w:hAnsi="Palatino Linotype"/>
        <w:b/>
        <w:color w:val="595959"/>
        <w:sz w:val="48"/>
        <w:lang w:val="es-PA"/>
      </w:rPr>
    </w:pPr>
    <w:r w:rsidRPr="00B15328">
      <w:rPr>
        <w:rFonts w:ascii="Palatino Linotype" w:hAnsi="Palatino Linotype"/>
        <w:b/>
        <w:color w:val="595959"/>
        <w:sz w:val="48"/>
        <w:lang w:val="es-PA"/>
      </w:rPr>
      <w:t>Transparencia</w:t>
    </w:r>
  </w:p>
  <w:p w14:paraId="195ECA99" w14:textId="44F175D3" w:rsidR="00CE123C" w:rsidRPr="00B15328" w:rsidRDefault="00CE123C" w:rsidP="001E4B02">
    <w:pPr>
      <w:pStyle w:val="Encabezado"/>
      <w:jc w:val="center"/>
      <w:rPr>
        <w:rFonts w:ascii="Palatino Linotype" w:hAnsi="Palatino Linotype"/>
        <w:b/>
        <w:noProof/>
        <w:color w:val="7F7F7F"/>
        <w:sz w:val="28"/>
        <w:lang w:val="es-PA" w:eastAsia="es-PA"/>
      </w:rPr>
    </w:pPr>
    <w:r w:rsidRPr="00B15328">
      <w:rPr>
        <w:rFonts w:ascii="Palatino Linotype" w:hAnsi="Palatino Linotype"/>
        <w:b/>
        <w:noProof/>
        <w:color w:val="7F7F7F"/>
        <w:sz w:val="28"/>
        <w:lang w:val="es-PA" w:eastAsia="es-PA"/>
      </w:rPr>
      <w:t xml:space="preserve">Ministerio de Relaciones Exteriores </w:t>
    </w:r>
  </w:p>
  <w:p w14:paraId="195ECA9A" w14:textId="6F2778A6" w:rsidR="00CE123C" w:rsidRPr="00B15328" w:rsidRDefault="00CE123C" w:rsidP="004428FA">
    <w:pPr>
      <w:pStyle w:val="Encabezado"/>
      <w:spacing w:after="240"/>
      <w:jc w:val="center"/>
      <w:rPr>
        <w:rFonts w:ascii="Palatino Linotype" w:hAnsi="Palatino Linotype"/>
        <w:b/>
        <w:color w:val="7F7F7F"/>
        <w:sz w:val="28"/>
        <w:lang w:val="es-PA"/>
      </w:rPr>
    </w:pPr>
    <w:r w:rsidRPr="00B15328">
      <w:rPr>
        <w:rFonts w:ascii="Palatino Linotype" w:hAnsi="Palatino Linotype"/>
        <w:b/>
        <w:noProof/>
        <w:color w:val="7F7F7F"/>
        <w:sz w:val="28"/>
        <w:lang w:val="es-PA" w:eastAsia="es-P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ECA9F" wp14:editId="195ECAA0">
              <wp:simplePos x="0" y="0"/>
              <wp:positionH relativeFrom="margin">
                <wp:posOffset>-1214120</wp:posOffset>
              </wp:positionH>
              <wp:positionV relativeFrom="paragraph">
                <wp:posOffset>272123</wp:posOffset>
              </wp:positionV>
              <wp:extent cx="13411200" cy="0"/>
              <wp:effectExtent l="38100" t="19050" r="57150" b="114300"/>
              <wp:wrapNone/>
              <wp:docPr id="5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11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ADBBD" id="Conector rec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5.6pt,21.45pt" to="960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" strokecolor="#2f5496 [2408]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  <w:r w:rsidRPr="00B15328">
      <w:rPr>
        <w:rFonts w:ascii="Palatino Linotype" w:hAnsi="Palatino Linotype"/>
        <w:b/>
        <w:noProof/>
        <w:color w:val="7F7F7F"/>
        <w:sz w:val="28"/>
        <w:lang w:val="es-PA" w:eastAsia="es-P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5ECAA1" wp14:editId="195ECAA2">
              <wp:simplePos x="0" y="0"/>
              <wp:positionH relativeFrom="margin">
                <wp:posOffset>-1414145</wp:posOffset>
              </wp:positionH>
              <wp:positionV relativeFrom="paragraph">
                <wp:posOffset>322288</wp:posOffset>
              </wp:positionV>
              <wp:extent cx="13801725" cy="0"/>
              <wp:effectExtent l="38100" t="19050" r="66675" b="1143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801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39EE4" id="Conector recto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1.35pt,25.4pt" to="975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" strokecolor="red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  <w:r w:rsidRPr="00B15328">
      <w:rPr>
        <w:rFonts w:ascii="Palatino Linotype" w:hAnsi="Palatino Linotype"/>
        <w:b/>
        <w:noProof/>
        <w:color w:val="7F7F7F"/>
        <w:sz w:val="28"/>
        <w:lang w:val="es-PA" w:eastAsia="es-PA"/>
      </w:rPr>
      <w:t xml:space="preserve">Departamento de Presupuesto </w:t>
    </w:r>
  </w:p>
  <w:p w14:paraId="195ECA9B" w14:textId="77777777" w:rsidR="00CE123C" w:rsidRPr="008F5F7C" w:rsidRDefault="00CE123C">
    <w:pPr>
      <w:pStyle w:val="Encabezado"/>
      <w:rPr>
        <w:lang w:val="es-P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F0E"/>
    <w:multiLevelType w:val="hybridMultilevel"/>
    <w:tmpl w:val="7616C772"/>
    <w:lvl w:ilvl="0" w:tplc="180A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3060" w:hanging="360"/>
      </w:pPr>
    </w:lvl>
    <w:lvl w:ilvl="2" w:tplc="180A001B" w:tentative="1">
      <w:start w:val="1"/>
      <w:numFmt w:val="lowerRoman"/>
      <w:lvlText w:val="%3."/>
      <w:lvlJc w:val="right"/>
      <w:pPr>
        <w:ind w:left="3780" w:hanging="180"/>
      </w:pPr>
    </w:lvl>
    <w:lvl w:ilvl="3" w:tplc="180A000F" w:tentative="1">
      <w:start w:val="1"/>
      <w:numFmt w:val="decimal"/>
      <w:lvlText w:val="%4."/>
      <w:lvlJc w:val="left"/>
      <w:pPr>
        <w:ind w:left="4500" w:hanging="360"/>
      </w:pPr>
    </w:lvl>
    <w:lvl w:ilvl="4" w:tplc="180A0019" w:tentative="1">
      <w:start w:val="1"/>
      <w:numFmt w:val="lowerLetter"/>
      <w:lvlText w:val="%5."/>
      <w:lvlJc w:val="left"/>
      <w:pPr>
        <w:ind w:left="5220" w:hanging="360"/>
      </w:pPr>
    </w:lvl>
    <w:lvl w:ilvl="5" w:tplc="180A001B" w:tentative="1">
      <w:start w:val="1"/>
      <w:numFmt w:val="lowerRoman"/>
      <w:lvlText w:val="%6."/>
      <w:lvlJc w:val="right"/>
      <w:pPr>
        <w:ind w:left="5940" w:hanging="180"/>
      </w:pPr>
    </w:lvl>
    <w:lvl w:ilvl="6" w:tplc="180A000F" w:tentative="1">
      <w:start w:val="1"/>
      <w:numFmt w:val="decimal"/>
      <w:lvlText w:val="%7."/>
      <w:lvlJc w:val="left"/>
      <w:pPr>
        <w:ind w:left="6660" w:hanging="360"/>
      </w:pPr>
    </w:lvl>
    <w:lvl w:ilvl="7" w:tplc="180A0019" w:tentative="1">
      <w:start w:val="1"/>
      <w:numFmt w:val="lowerLetter"/>
      <w:lvlText w:val="%8."/>
      <w:lvlJc w:val="left"/>
      <w:pPr>
        <w:ind w:left="7380" w:hanging="360"/>
      </w:pPr>
    </w:lvl>
    <w:lvl w:ilvl="8" w:tplc="1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846C78"/>
    <w:multiLevelType w:val="hybridMultilevel"/>
    <w:tmpl w:val="94424B7A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EB5"/>
    <w:multiLevelType w:val="hybridMultilevel"/>
    <w:tmpl w:val="AD74BB3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531"/>
    <w:multiLevelType w:val="hybridMultilevel"/>
    <w:tmpl w:val="E1BC818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841"/>
    <w:multiLevelType w:val="multilevel"/>
    <w:tmpl w:val="B67E92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B2D"/>
    <w:multiLevelType w:val="hybridMultilevel"/>
    <w:tmpl w:val="70CA7D1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836"/>
    <w:multiLevelType w:val="multilevel"/>
    <w:tmpl w:val="B67E92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8C6"/>
    <w:multiLevelType w:val="hybridMultilevel"/>
    <w:tmpl w:val="5796A4A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1362"/>
    <w:multiLevelType w:val="multilevel"/>
    <w:tmpl w:val="B67E92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571"/>
    <w:multiLevelType w:val="hybridMultilevel"/>
    <w:tmpl w:val="61BE13B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BCE"/>
    <w:multiLevelType w:val="hybridMultilevel"/>
    <w:tmpl w:val="7B0879C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428E0"/>
    <w:multiLevelType w:val="hybridMultilevel"/>
    <w:tmpl w:val="D0CA57DC"/>
    <w:lvl w:ilvl="0" w:tplc="1F347A8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00" w:hanging="360"/>
      </w:pPr>
    </w:lvl>
    <w:lvl w:ilvl="2" w:tplc="180A001B" w:tentative="1">
      <w:start w:val="1"/>
      <w:numFmt w:val="lowerRoman"/>
      <w:lvlText w:val="%3."/>
      <w:lvlJc w:val="right"/>
      <w:pPr>
        <w:ind w:left="1920" w:hanging="180"/>
      </w:pPr>
    </w:lvl>
    <w:lvl w:ilvl="3" w:tplc="180A000F" w:tentative="1">
      <w:start w:val="1"/>
      <w:numFmt w:val="decimal"/>
      <w:lvlText w:val="%4."/>
      <w:lvlJc w:val="left"/>
      <w:pPr>
        <w:ind w:left="2640" w:hanging="360"/>
      </w:pPr>
    </w:lvl>
    <w:lvl w:ilvl="4" w:tplc="180A0019" w:tentative="1">
      <w:start w:val="1"/>
      <w:numFmt w:val="lowerLetter"/>
      <w:lvlText w:val="%5."/>
      <w:lvlJc w:val="left"/>
      <w:pPr>
        <w:ind w:left="3360" w:hanging="360"/>
      </w:pPr>
    </w:lvl>
    <w:lvl w:ilvl="5" w:tplc="180A001B" w:tentative="1">
      <w:start w:val="1"/>
      <w:numFmt w:val="lowerRoman"/>
      <w:lvlText w:val="%6."/>
      <w:lvlJc w:val="right"/>
      <w:pPr>
        <w:ind w:left="4080" w:hanging="180"/>
      </w:pPr>
    </w:lvl>
    <w:lvl w:ilvl="6" w:tplc="180A000F" w:tentative="1">
      <w:start w:val="1"/>
      <w:numFmt w:val="decimal"/>
      <w:lvlText w:val="%7."/>
      <w:lvlJc w:val="left"/>
      <w:pPr>
        <w:ind w:left="4800" w:hanging="360"/>
      </w:pPr>
    </w:lvl>
    <w:lvl w:ilvl="7" w:tplc="180A0019" w:tentative="1">
      <w:start w:val="1"/>
      <w:numFmt w:val="lowerLetter"/>
      <w:lvlText w:val="%8."/>
      <w:lvlJc w:val="left"/>
      <w:pPr>
        <w:ind w:left="5520" w:hanging="360"/>
      </w:pPr>
    </w:lvl>
    <w:lvl w:ilvl="8" w:tplc="1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9201B02"/>
    <w:multiLevelType w:val="hybridMultilevel"/>
    <w:tmpl w:val="DD1AC2F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24B6E"/>
    <w:multiLevelType w:val="hybridMultilevel"/>
    <w:tmpl w:val="1EC4C5F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7AF0"/>
    <w:multiLevelType w:val="hybridMultilevel"/>
    <w:tmpl w:val="41C6D0F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0135"/>
    <w:multiLevelType w:val="hybridMultilevel"/>
    <w:tmpl w:val="F356F54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46CB7"/>
    <w:multiLevelType w:val="hybridMultilevel"/>
    <w:tmpl w:val="68CCEA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F3F5F"/>
    <w:multiLevelType w:val="hybridMultilevel"/>
    <w:tmpl w:val="B67E92B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860A0"/>
    <w:multiLevelType w:val="multilevel"/>
    <w:tmpl w:val="B67E92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34BC"/>
    <w:multiLevelType w:val="hybridMultilevel"/>
    <w:tmpl w:val="102015FC"/>
    <w:lvl w:ilvl="0" w:tplc="06568ED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20" w:hanging="360"/>
      </w:pPr>
    </w:lvl>
    <w:lvl w:ilvl="2" w:tplc="180A001B" w:tentative="1">
      <w:start w:val="1"/>
      <w:numFmt w:val="lowerRoman"/>
      <w:lvlText w:val="%3."/>
      <w:lvlJc w:val="right"/>
      <w:pPr>
        <w:ind w:left="2040" w:hanging="180"/>
      </w:pPr>
    </w:lvl>
    <w:lvl w:ilvl="3" w:tplc="180A000F" w:tentative="1">
      <w:start w:val="1"/>
      <w:numFmt w:val="decimal"/>
      <w:lvlText w:val="%4."/>
      <w:lvlJc w:val="left"/>
      <w:pPr>
        <w:ind w:left="2760" w:hanging="360"/>
      </w:pPr>
    </w:lvl>
    <w:lvl w:ilvl="4" w:tplc="180A0019" w:tentative="1">
      <w:start w:val="1"/>
      <w:numFmt w:val="lowerLetter"/>
      <w:lvlText w:val="%5."/>
      <w:lvlJc w:val="left"/>
      <w:pPr>
        <w:ind w:left="3480" w:hanging="360"/>
      </w:pPr>
    </w:lvl>
    <w:lvl w:ilvl="5" w:tplc="180A001B" w:tentative="1">
      <w:start w:val="1"/>
      <w:numFmt w:val="lowerRoman"/>
      <w:lvlText w:val="%6."/>
      <w:lvlJc w:val="right"/>
      <w:pPr>
        <w:ind w:left="4200" w:hanging="180"/>
      </w:pPr>
    </w:lvl>
    <w:lvl w:ilvl="6" w:tplc="180A000F" w:tentative="1">
      <w:start w:val="1"/>
      <w:numFmt w:val="decimal"/>
      <w:lvlText w:val="%7."/>
      <w:lvlJc w:val="left"/>
      <w:pPr>
        <w:ind w:left="4920" w:hanging="360"/>
      </w:pPr>
    </w:lvl>
    <w:lvl w:ilvl="7" w:tplc="180A0019" w:tentative="1">
      <w:start w:val="1"/>
      <w:numFmt w:val="lowerLetter"/>
      <w:lvlText w:val="%8."/>
      <w:lvlJc w:val="left"/>
      <w:pPr>
        <w:ind w:left="5640" w:hanging="360"/>
      </w:pPr>
    </w:lvl>
    <w:lvl w:ilvl="8" w:tplc="1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9967C67"/>
    <w:multiLevelType w:val="multilevel"/>
    <w:tmpl w:val="B67E92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D46D5"/>
    <w:multiLevelType w:val="hybridMultilevel"/>
    <w:tmpl w:val="2EC6B69C"/>
    <w:lvl w:ilvl="0" w:tplc="2ABA9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E4293"/>
    <w:multiLevelType w:val="multilevel"/>
    <w:tmpl w:val="B67E92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0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22"/>
  </w:num>
  <w:num w:numId="15">
    <w:abstractNumId w:val="10"/>
  </w:num>
  <w:num w:numId="16">
    <w:abstractNumId w:val="21"/>
  </w:num>
  <w:num w:numId="17">
    <w:abstractNumId w:val="19"/>
  </w:num>
  <w:num w:numId="18">
    <w:abstractNumId w:val="11"/>
  </w:num>
  <w:num w:numId="19">
    <w:abstractNumId w:val="9"/>
  </w:num>
  <w:num w:numId="20">
    <w:abstractNumId w:val="0"/>
  </w:num>
  <w:num w:numId="21">
    <w:abstractNumId w:val="1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8"/>
    <w:rsid w:val="00025DA7"/>
    <w:rsid w:val="00062673"/>
    <w:rsid w:val="00076C50"/>
    <w:rsid w:val="0008635B"/>
    <w:rsid w:val="000B0583"/>
    <w:rsid w:val="000B3EA4"/>
    <w:rsid w:val="000B7055"/>
    <w:rsid w:val="000F484C"/>
    <w:rsid w:val="00103402"/>
    <w:rsid w:val="00117A95"/>
    <w:rsid w:val="00126EE7"/>
    <w:rsid w:val="00145C82"/>
    <w:rsid w:val="00152C46"/>
    <w:rsid w:val="00157459"/>
    <w:rsid w:val="00160386"/>
    <w:rsid w:val="001723F9"/>
    <w:rsid w:val="00175B54"/>
    <w:rsid w:val="001776D1"/>
    <w:rsid w:val="0018195D"/>
    <w:rsid w:val="00191DC3"/>
    <w:rsid w:val="00195E82"/>
    <w:rsid w:val="001B0B86"/>
    <w:rsid w:val="001E4B02"/>
    <w:rsid w:val="002163C0"/>
    <w:rsid w:val="00221240"/>
    <w:rsid w:val="002318D1"/>
    <w:rsid w:val="0024266F"/>
    <w:rsid w:val="0026238F"/>
    <w:rsid w:val="00270C5B"/>
    <w:rsid w:val="002712B6"/>
    <w:rsid w:val="00273312"/>
    <w:rsid w:val="002832AB"/>
    <w:rsid w:val="002965D6"/>
    <w:rsid w:val="00303662"/>
    <w:rsid w:val="0031079D"/>
    <w:rsid w:val="003125DB"/>
    <w:rsid w:val="00352B18"/>
    <w:rsid w:val="0039091B"/>
    <w:rsid w:val="00394765"/>
    <w:rsid w:val="003C0F86"/>
    <w:rsid w:val="00403259"/>
    <w:rsid w:val="00412C04"/>
    <w:rsid w:val="00414053"/>
    <w:rsid w:val="00424545"/>
    <w:rsid w:val="00434B88"/>
    <w:rsid w:val="00441261"/>
    <w:rsid w:val="004428FA"/>
    <w:rsid w:val="00446A0C"/>
    <w:rsid w:val="00460EDA"/>
    <w:rsid w:val="00497679"/>
    <w:rsid w:val="00541BFE"/>
    <w:rsid w:val="00546580"/>
    <w:rsid w:val="00575F8C"/>
    <w:rsid w:val="005A3DFB"/>
    <w:rsid w:val="005B0112"/>
    <w:rsid w:val="005C5BF8"/>
    <w:rsid w:val="005D1BF4"/>
    <w:rsid w:val="005D70E4"/>
    <w:rsid w:val="005E5A89"/>
    <w:rsid w:val="005F15E3"/>
    <w:rsid w:val="00600A5D"/>
    <w:rsid w:val="00625EE9"/>
    <w:rsid w:val="00633563"/>
    <w:rsid w:val="006619FC"/>
    <w:rsid w:val="006634A3"/>
    <w:rsid w:val="00675D84"/>
    <w:rsid w:val="00696BE8"/>
    <w:rsid w:val="006A0A86"/>
    <w:rsid w:val="006B0EE9"/>
    <w:rsid w:val="006D3AE7"/>
    <w:rsid w:val="006F7FF8"/>
    <w:rsid w:val="007050E4"/>
    <w:rsid w:val="00715FF2"/>
    <w:rsid w:val="007314F1"/>
    <w:rsid w:val="00766CD4"/>
    <w:rsid w:val="00774EAC"/>
    <w:rsid w:val="007751E9"/>
    <w:rsid w:val="007A5332"/>
    <w:rsid w:val="007C2D32"/>
    <w:rsid w:val="007E12C8"/>
    <w:rsid w:val="00800AFA"/>
    <w:rsid w:val="00801C7A"/>
    <w:rsid w:val="00803853"/>
    <w:rsid w:val="00814F77"/>
    <w:rsid w:val="00815965"/>
    <w:rsid w:val="008264C9"/>
    <w:rsid w:val="008454EC"/>
    <w:rsid w:val="00870E9E"/>
    <w:rsid w:val="008862B8"/>
    <w:rsid w:val="00891BF4"/>
    <w:rsid w:val="008A2978"/>
    <w:rsid w:val="008A313A"/>
    <w:rsid w:val="008C473B"/>
    <w:rsid w:val="008C687B"/>
    <w:rsid w:val="008E7E24"/>
    <w:rsid w:val="008F3B44"/>
    <w:rsid w:val="008F5F7C"/>
    <w:rsid w:val="009079CC"/>
    <w:rsid w:val="00935F38"/>
    <w:rsid w:val="00961D44"/>
    <w:rsid w:val="00970B74"/>
    <w:rsid w:val="00984808"/>
    <w:rsid w:val="0099783F"/>
    <w:rsid w:val="009A570F"/>
    <w:rsid w:val="009B06C9"/>
    <w:rsid w:val="009F7A1E"/>
    <w:rsid w:val="00A03022"/>
    <w:rsid w:val="00A20EFD"/>
    <w:rsid w:val="00A24FD5"/>
    <w:rsid w:val="00A42CD2"/>
    <w:rsid w:val="00A555A0"/>
    <w:rsid w:val="00A55EFA"/>
    <w:rsid w:val="00AB3763"/>
    <w:rsid w:val="00AC5388"/>
    <w:rsid w:val="00AC5F4F"/>
    <w:rsid w:val="00AD4A47"/>
    <w:rsid w:val="00B0429A"/>
    <w:rsid w:val="00B15328"/>
    <w:rsid w:val="00B178D6"/>
    <w:rsid w:val="00B30A03"/>
    <w:rsid w:val="00B4657A"/>
    <w:rsid w:val="00B53D35"/>
    <w:rsid w:val="00B70E97"/>
    <w:rsid w:val="00B8535C"/>
    <w:rsid w:val="00BB29CF"/>
    <w:rsid w:val="00BC6A21"/>
    <w:rsid w:val="00BD5764"/>
    <w:rsid w:val="00BE1318"/>
    <w:rsid w:val="00BE3530"/>
    <w:rsid w:val="00BE72CD"/>
    <w:rsid w:val="00BF4EA0"/>
    <w:rsid w:val="00C01CFB"/>
    <w:rsid w:val="00C04E8C"/>
    <w:rsid w:val="00C71CA5"/>
    <w:rsid w:val="00C972DD"/>
    <w:rsid w:val="00CB124E"/>
    <w:rsid w:val="00CB2F60"/>
    <w:rsid w:val="00CB63DF"/>
    <w:rsid w:val="00CC51EA"/>
    <w:rsid w:val="00CE123C"/>
    <w:rsid w:val="00CE68E4"/>
    <w:rsid w:val="00CF0112"/>
    <w:rsid w:val="00D16F97"/>
    <w:rsid w:val="00D86E4C"/>
    <w:rsid w:val="00DD3165"/>
    <w:rsid w:val="00DE0239"/>
    <w:rsid w:val="00E04363"/>
    <w:rsid w:val="00E339BA"/>
    <w:rsid w:val="00E67641"/>
    <w:rsid w:val="00E84D81"/>
    <w:rsid w:val="00EA3CC6"/>
    <w:rsid w:val="00EA577C"/>
    <w:rsid w:val="00ED402D"/>
    <w:rsid w:val="00EE5AFE"/>
    <w:rsid w:val="00EF6CA1"/>
    <w:rsid w:val="00F036B9"/>
    <w:rsid w:val="00F12205"/>
    <w:rsid w:val="00F152EA"/>
    <w:rsid w:val="00F3467B"/>
    <w:rsid w:val="00F76FE8"/>
    <w:rsid w:val="00F90B85"/>
    <w:rsid w:val="00FA12F5"/>
    <w:rsid w:val="00FB449D"/>
    <w:rsid w:val="00FC1B1E"/>
    <w:rsid w:val="00FC1EC4"/>
    <w:rsid w:val="00FD07C2"/>
    <w:rsid w:val="00FD415A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ECA85"/>
  <w15:chartTrackingRefBased/>
  <w15:docId w15:val="{5092FEF8-3E8C-4FB1-8BF9-F676F40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F4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F4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43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3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1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31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E1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318"/>
    <w:rPr>
      <w:lang w:val="en-US"/>
    </w:rPr>
  </w:style>
  <w:style w:type="table" w:styleId="Tablaconcuadrcula">
    <w:name w:val="Table Grid"/>
    <w:basedOn w:val="Tablanormal"/>
    <w:uiPriority w:val="39"/>
    <w:rsid w:val="007E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5F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E8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3D35"/>
    <w:rPr>
      <w:color w:val="954F72"/>
      <w:u w:val="single"/>
    </w:rPr>
  </w:style>
  <w:style w:type="paragraph" w:customStyle="1" w:styleId="xl65">
    <w:name w:val="xl65"/>
    <w:basedOn w:val="Normal"/>
    <w:rsid w:val="00B53D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u w:val="single"/>
      <w:lang w:val="es-PA" w:eastAsia="es-PA"/>
    </w:rPr>
  </w:style>
  <w:style w:type="paragraph" w:customStyle="1" w:styleId="xl66">
    <w:name w:val="xl66"/>
    <w:basedOn w:val="Normal"/>
    <w:rsid w:val="00B53D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u w:val="single"/>
      <w:lang w:val="es-PA" w:eastAsia="es-PA"/>
    </w:rPr>
  </w:style>
  <w:style w:type="paragraph" w:customStyle="1" w:styleId="xl67">
    <w:name w:val="xl67"/>
    <w:basedOn w:val="Normal"/>
    <w:rsid w:val="00B53D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u w:val="single"/>
      <w:lang w:val="es-PA" w:eastAsia="es-PA"/>
    </w:rPr>
  </w:style>
  <w:style w:type="paragraph" w:customStyle="1" w:styleId="xl68">
    <w:name w:val="xl68"/>
    <w:basedOn w:val="Normal"/>
    <w:rsid w:val="00B53D3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69">
    <w:name w:val="xl69"/>
    <w:basedOn w:val="Normal"/>
    <w:rsid w:val="00B53D35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70">
    <w:name w:val="xl70"/>
    <w:basedOn w:val="Normal"/>
    <w:rsid w:val="00B53D35"/>
    <w:pPr>
      <w:spacing w:before="100" w:beforeAutospacing="1" w:after="100" w:afterAutospacing="1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71">
    <w:name w:val="xl71"/>
    <w:basedOn w:val="Normal"/>
    <w:rsid w:val="00B53D3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72">
    <w:name w:val="xl72"/>
    <w:basedOn w:val="Normal"/>
    <w:rsid w:val="00B53D3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74">
    <w:name w:val="xl74"/>
    <w:basedOn w:val="Normal"/>
    <w:rsid w:val="00B53D3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75">
    <w:name w:val="xl75"/>
    <w:basedOn w:val="Normal"/>
    <w:rsid w:val="00B53D3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76">
    <w:name w:val="xl76"/>
    <w:basedOn w:val="Normal"/>
    <w:rsid w:val="00B53D35"/>
    <w:pPr>
      <w:spacing w:before="100" w:beforeAutospacing="1" w:after="100" w:afterAutospacing="1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77">
    <w:name w:val="xl77"/>
    <w:basedOn w:val="Normal"/>
    <w:rsid w:val="00B53D35"/>
    <w:pPr>
      <w:spacing w:before="100" w:beforeAutospacing="1" w:after="100" w:afterAutospacing="1"/>
      <w:textAlignment w:val="center"/>
    </w:pPr>
    <w:rPr>
      <w:color w:val="000000"/>
      <w:sz w:val="18"/>
      <w:szCs w:val="18"/>
      <w:lang w:val="es-PA" w:eastAsia="es-PA"/>
    </w:rPr>
  </w:style>
  <w:style w:type="paragraph" w:customStyle="1" w:styleId="xl78">
    <w:name w:val="xl78"/>
    <w:basedOn w:val="Normal"/>
    <w:rsid w:val="00B53D35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PA" w:eastAsia="es-PA"/>
    </w:rPr>
  </w:style>
  <w:style w:type="paragraph" w:customStyle="1" w:styleId="xl79">
    <w:name w:val="xl79"/>
    <w:basedOn w:val="Normal"/>
    <w:rsid w:val="00B53D35"/>
    <w:pPr>
      <w:spacing w:before="100" w:beforeAutospacing="1" w:after="100" w:afterAutospacing="1"/>
    </w:pPr>
    <w:rPr>
      <w:sz w:val="18"/>
      <w:szCs w:val="18"/>
      <w:lang w:val="es-PA" w:eastAsia="es-PA"/>
    </w:rPr>
  </w:style>
  <w:style w:type="paragraph" w:customStyle="1" w:styleId="xl80">
    <w:name w:val="xl80"/>
    <w:basedOn w:val="Normal"/>
    <w:rsid w:val="00B53D35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val="es-PA" w:eastAsia="es-PA"/>
    </w:rPr>
  </w:style>
  <w:style w:type="paragraph" w:customStyle="1" w:styleId="xl81">
    <w:name w:val="xl81"/>
    <w:basedOn w:val="Normal"/>
    <w:rsid w:val="00B53D35"/>
    <w:pPr>
      <w:spacing w:before="100" w:beforeAutospacing="1" w:after="100" w:afterAutospacing="1"/>
    </w:pPr>
    <w:rPr>
      <w:sz w:val="18"/>
      <w:szCs w:val="18"/>
      <w:lang w:val="es-PA" w:eastAsia="es-PA"/>
    </w:rPr>
  </w:style>
  <w:style w:type="paragraph" w:customStyle="1" w:styleId="xl82">
    <w:name w:val="xl82"/>
    <w:basedOn w:val="Normal"/>
    <w:rsid w:val="00B53D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u w:val="single"/>
      <w:lang w:val="es-PA" w:eastAsia="es-PA"/>
    </w:rPr>
  </w:style>
  <w:style w:type="paragraph" w:customStyle="1" w:styleId="xl83">
    <w:name w:val="xl83"/>
    <w:basedOn w:val="Normal"/>
    <w:rsid w:val="00B53D35"/>
    <w:pPr>
      <w:spacing w:before="100" w:beforeAutospacing="1" w:after="100" w:afterAutospacing="1"/>
    </w:pPr>
    <w:rPr>
      <w:b/>
      <w:bCs/>
      <w:u w:val="single"/>
      <w:lang w:val="es-PA" w:eastAsia="es-PA"/>
    </w:rPr>
  </w:style>
  <w:style w:type="paragraph" w:customStyle="1" w:styleId="xl64">
    <w:name w:val="xl64"/>
    <w:basedOn w:val="Normal"/>
    <w:rsid w:val="008F3B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u w:val="single"/>
      <w:lang w:val="es-PA" w:eastAsia="es-PA"/>
    </w:rPr>
  </w:style>
  <w:style w:type="paragraph" w:customStyle="1" w:styleId="xl84">
    <w:name w:val="xl84"/>
    <w:basedOn w:val="Normal"/>
    <w:rsid w:val="008F3B44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val="es-PA" w:eastAsia="es-PA"/>
    </w:rPr>
  </w:style>
  <w:style w:type="paragraph" w:customStyle="1" w:styleId="xl85">
    <w:name w:val="xl85"/>
    <w:basedOn w:val="Normal"/>
    <w:rsid w:val="008F3B44"/>
    <w:pPr>
      <w:spacing w:before="100" w:beforeAutospacing="1" w:after="100" w:afterAutospacing="1"/>
      <w:jc w:val="center"/>
    </w:pPr>
    <w:rPr>
      <w:color w:val="000000"/>
      <w:sz w:val="20"/>
      <w:szCs w:val="20"/>
      <w:lang w:val="es-PA" w:eastAsia="es-PA"/>
    </w:rPr>
  </w:style>
  <w:style w:type="paragraph" w:customStyle="1" w:styleId="xl86">
    <w:name w:val="xl86"/>
    <w:basedOn w:val="Normal"/>
    <w:rsid w:val="008F3B44"/>
    <w:pPr>
      <w:spacing w:before="100" w:beforeAutospacing="1" w:after="100" w:afterAutospacing="1"/>
      <w:jc w:val="center"/>
    </w:pPr>
    <w:rPr>
      <w:sz w:val="20"/>
      <w:szCs w:val="20"/>
      <w:lang w:val="es-PA" w:eastAsia="es-PA"/>
    </w:rPr>
  </w:style>
  <w:style w:type="paragraph" w:customStyle="1" w:styleId="xl87">
    <w:name w:val="xl87"/>
    <w:basedOn w:val="Normal"/>
    <w:rsid w:val="008F3B44"/>
    <w:pPr>
      <w:spacing w:before="100" w:beforeAutospacing="1" w:after="100" w:afterAutospacing="1"/>
    </w:pPr>
    <w:rPr>
      <w:sz w:val="20"/>
      <w:szCs w:val="20"/>
      <w:lang w:val="es-PA" w:eastAsia="es-PA"/>
    </w:rPr>
  </w:style>
  <w:style w:type="paragraph" w:customStyle="1" w:styleId="xl88">
    <w:name w:val="xl88"/>
    <w:basedOn w:val="Normal"/>
    <w:rsid w:val="008F3B44"/>
    <w:pPr>
      <w:spacing w:before="100" w:beforeAutospacing="1" w:after="100" w:afterAutospacing="1"/>
    </w:pPr>
    <w:rPr>
      <w:color w:val="262626"/>
      <w:lang w:val="es-PA" w:eastAsia="es-PA"/>
    </w:rPr>
  </w:style>
  <w:style w:type="paragraph" w:customStyle="1" w:styleId="xl89">
    <w:name w:val="xl89"/>
    <w:basedOn w:val="Normal"/>
    <w:rsid w:val="008F3B44"/>
    <w:pPr>
      <w:spacing w:before="100" w:beforeAutospacing="1" w:after="100" w:afterAutospacing="1"/>
    </w:pPr>
    <w:rPr>
      <w:sz w:val="20"/>
      <w:szCs w:val="20"/>
      <w:lang w:val="es-PA" w:eastAsia="es-PA"/>
    </w:rPr>
  </w:style>
  <w:style w:type="paragraph" w:customStyle="1" w:styleId="xl90">
    <w:name w:val="xl90"/>
    <w:basedOn w:val="Normal"/>
    <w:rsid w:val="008F3B44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A" w:eastAsia="es-PA"/>
    </w:rPr>
  </w:style>
  <w:style w:type="paragraph" w:customStyle="1" w:styleId="xl91">
    <w:name w:val="xl91"/>
    <w:basedOn w:val="Normal"/>
    <w:rsid w:val="008F3B44"/>
    <w:pPr>
      <w:spacing w:before="100" w:beforeAutospacing="1" w:after="100" w:afterAutospacing="1"/>
      <w:jc w:val="right"/>
      <w:textAlignment w:val="center"/>
    </w:pPr>
    <w:rPr>
      <w:sz w:val="20"/>
      <w:szCs w:val="20"/>
      <w:lang w:val="es-PA" w:eastAsia="es-PA"/>
    </w:rPr>
  </w:style>
  <w:style w:type="paragraph" w:customStyle="1" w:styleId="xl92">
    <w:name w:val="xl92"/>
    <w:basedOn w:val="Normal"/>
    <w:rsid w:val="008F3B44"/>
    <w:pPr>
      <w:spacing w:before="100" w:beforeAutospacing="1" w:after="100" w:afterAutospacing="1"/>
    </w:pPr>
    <w:rPr>
      <w:lang w:val="es-PA" w:eastAsia="es-PA"/>
    </w:rPr>
  </w:style>
  <w:style w:type="paragraph" w:customStyle="1" w:styleId="xl73">
    <w:name w:val="xl73"/>
    <w:basedOn w:val="Normal"/>
    <w:rsid w:val="008264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  <w:u w:val="single"/>
      <w:lang w:val="es-PA" w:eastAsia="es-PA"/>
    </w:rPr>
  </w:style>
  <w:style w:type="paragraph" w:styleId="Textoindependiente">
    <w:name w:val="Body Text"/>
    <w:basedOn w:val="Normal"/>
    <w:link w:val="TextoindependienteCar"/>
    <w:uiPriority w:val="99"/>
    <w:rsid w:val="00FF433E"/>
    <w:pPr>
      <w:widowControl w:val="0"/>
      <w:tabs>
        <w:tab w:val="left" w:pos="0"/>
      </w:tabs>
      <w:suppressAutoHyphens/>
      <w:autoSpaceDE w:val="0"/>
      <w:spacing w:line="240" w:lineRule="atLeast"/>
      <w:jc w:val="both"/>
    </w:pPr>
    <w:rPr>
      <w:rFonts w:ascii="Arial" w:hAnsi="Arial" w:cs="Arial"/>
      <w:spacing w:val="-3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433E"/>
    <w:rPr>
      <w:rFonts w:ascii="Arial" w:eastAsia="Times New Roman" w:hAnsi="Arial" w:cs="Arial"/>
      <w:spacing w:val="-3"/>
      <w:sz w:val="24"/>
      <w:szCs w:val="24"/>
      <w:lang w:val="es-ES_tradnl" w:eastAsia="ar-SA"/>
    </w:rPr>
  </w:style>
  <w:style w:type="character" w:styleId="Nmerodepgina">
    <w:name w:val="page number"/>
    <w:basedOn w:val="Fuentedeprrafopredeter"/>
    <w:uiPriority w:val="99"/>
    <w:rsid w:val="00FF433E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33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F433E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43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433E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FF433E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F43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F43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76C50"/>
    <w:pPr>
      <w:spacing w:after="150"/>
    </w:pPr>
    <w:rPr>
      <w:rFonts w:ascii="Open Sans" w:hAnsi="Open Sans"/>
      <w:lang w:val="es-PA" w:eastAsia="es-PA"/>
    </w:rPr>
  </w:style>
  <w:style w:type="character" w:styleId="nfasis">
    <w:name w:val="Emphasis"/>
    <w:basedOn w:val="Fuentedeprrafopredeter"/>
    <w:uiPriority w:val="20"/>
    <w:qFormat/>
    <w:rsid w:val="00FD415A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B15328"/>
  </w:style>
  <w:style w:type="paragraph" w:styleId="Sinespaciado">
    <w:name w:val="No Spacing"/>
    <w:uiPriority w:val="1"/>
    <w:qFormat/>
    <w:rsid w:val="00FA1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28894913280908"/>
          <c:y val="4.5585606812652377E-2"/>
          <c:w val="0.83873822628358741"/>
          <c:h val="0.8729697319945098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066889632107024E-2"/>
                  <c:y val="-1.6309887869520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66,262,868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066889632107024E-2"/>
                  <c:y val="-2.8542303771661569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63,648,830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066889632107024E-2"/>
                  <c:y val="-1.6309887869520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2,614,038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'[Gráfico en Microsoft Word]junio 2018'!$A$12:$A$14</c:f>
              <c:strCache>
                <c:ptCount val="3"/>
                <c:pt idx="0">
                  <c:v>Total</c:v>
                </c:pt>
                <c:pt idx="1">
                  <c:v>Funcionamiento</c:v>
                </c:pt>
                <c:pt idx="2">
                  <c:v>Inversión</c:v>
                </c:pt>
              </c:strCache>
            </c:strRef>
          </c:cat>
          <c:val>
            <c:numRef>
              <c:f>'[Gráfico en Microsoft Word]junio 2018'!$B$12:$B$14</c:f>
              <c:numCache>
                <c:formatCode>#,##0</c:formatCode>
                <c:ptCount val="3"/>
                <c:pt idx="0">
                  <c:v>68859580</c:v>
                </c:pt>
                <c:pt idx="1">
                  <c:v>63767488</c:v>
                </c:pt>
                <c:pt idx="2">
                  <c:v>5092092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755852842809406E-2"/>
                  <c:y val="-3.669724770642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296544035674552E-2"/>
                  <c:y val="-3.98789434190352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837235228539496E-2"/>
                  <c:y val="-2.85423037716615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'[Gráfico en Microsoft Word]junio 2018'!$A$12:$A$14</c:f>
              <c:strCache>
                <c:ptCount val="3"/>
                <c:pt idx="0">
                  <c:v>Total</c:v>
                </c:pt>
                <c:pt idx="1">
                  <c:v>Funcionamiento</c:v>
                </c:pt>
                <c:pt idx="2">
                  <c:v>Inversión</c:v>
                </c:pt>
              </c:strCache>
            </c:strRef>
          </c:cat>
          <c:val>
            <c:numRef>
              <c:f>'[Gráfico en Microsoft Word]junio 2018'!$C$12:$C$14</c:f>
              <c:numCache>
                <c:formatCode>0%</c:formatCode>
                <c:ptCount val="3"/>
                <c:pt idx="0">
                  <c:v>1</c:v>
                </c:pt>
                <c:pt idx="1">
                  <c:v>0.92605107379394414</c:v>
                </c:pt>
                <c:pt idx="2">
                  <c:v>7.3948926206055865E-2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4744720"/>
        <c:axId val="334745896"/>
        <c:axId val="0"/>
      </c:bar3DChart>
      <c:catAx>
        <c:axId val="334744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A"/>
          </a:p>
        </c:txPr>
        <c:crossAx val="334745896"/>
        <c:crosses val="autoZero"/>
        <c:auto val="1"/>
        <c:lblAlgn val="ctr"/>
        <c:lblOffset val="100"/>
        <c:noMultiLvlLbl val="0"/>
      </c:catAx>
      <c:valAx>
        <c:axId val="334745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A"/>
          </a:p>
        </c:txPr>
        <c:crossAx val="33474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682841D474F4886F5E2FB01BC8155" ma:contentTypeVersion="0" ma:contentTypeDescription="Create a new document." ma:contentTypeScope="" ma:versionID="4198079498fb6f5008e7fe55d68089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53b3ea1a481493570e9f118d08f3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C722-02B5-4723-A93B-62675FCC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253E2-5AF9-4BBE-944A-A391E6FE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8428F-D736-40AD-B76A-E520120C4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BBFDD-EDEC-43DF-97F3-EE66D9D7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1655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Heckadon</dc:creator>
  <cp:keywords/>
  <dc:description/>
  <cp:lastModifiedBy>Zonalis Jiménez</cp:lastModifiedBy>
  <cp:revision>4</cp:revision>
  <cp:lastPrinted>2017-09-04T20:56:00Z</cp:lastPrinted>
  <dcterms:created xsi:type="dcterms:W3CDTF">2019-05-08T16:06:00Z</dcterms:created>
  <dcterms:modified xsi:type="dcterms:W3CDTF">2019-05-08T16:13:00Z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0x010100D5E682841D474F4886F5E2FB01BC8155</vt:lpwstr>
  </property>
</Properties>
</file>